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7777777" w:rsidR="00854980" w:rsidRPr="00A211FC" w:rsidRDefault="00854980">
      <w:pPr>
        <w:rPr>
          <w:rFonts w:cstheme="minorHAnsi"/>
          <w:sz w:val="24"/>
          <w:szCs w:val="24"/>
        </w:rPr>
      </w:pPr>
      <w:r w:rsidRPr="00A211FC">
        <w:rPr>
          <w:rFonts w:cstheme="minorHAnsi"/>
          <w:sz w:val="24"/>
          <w:szCs w:val="24"/>
        </w:rPr>
        <w:t>Dear Colleagues,</w:t>
      </w:r>
    </w:p>
    <w:p w14:paraId="067298F1" w14:textId="77FAB10E" w:rsidR="00DF2746" w:rsidRPr="00A211FC" w:rsidRDefault="00C1411A"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Pr>
          <w:rFonts w:cstheme="minorHAnsi"/>
          <w:sz w:val="24"/>
          <w:szCs w:val="24"/>
        </w:rPr>
        <w:t xml:space="preserve">Happy 2024! </w:t>
      </w:r>
      <w:r w:rsidR="00854980" w:rsidRPr="00A211FC">
        <w:rPr>
          <w:rFonts w:cstheme="minorHAnsi"/>
          <w:sz w:val="24"/>
          <w:szCs w:val="24"/>
        </w:rPr>
        <w:t>We are excited to bring you a</w:t>
      </w:r>
      <w:r w:rsidR="0079285D" w:rsidRPr="00A211FC">
        <w:rPr>
          <w:rFonts w:cstheme="minorHAnsi"/>
          <w:sz w:val="24"/>
          <w:szCs w:val="24"/>
        </w:rPr>
        <w:t xml:space="preserve"> combined </w:t>
      </w:r>
      <w:r w:rsidR="00174B4F" w:rsidRPr="00A211FC">
        <w:rPr>
          <w:rFonts w:cstheme="minorHAnsi"/>
          <w:sz w:val="24"/>
          <w:szCs w:val="24"/>
        </w:rPr>
        <w:t xml:space="preserve">December/January </w:t>
      </w:r>
      <w:r w:rsidR="00854980" w:rsidRPr="00A211FC">
        <w:rPr>
          <w:rFonts w:cstheme="minorHAnsi"/>
          <w:sz w:val="24"/>
          <w:szCs w:val="24"/>
        </w:rPr>
        <w:t xml:space="preserve">edition of Psychiatric Practice Updates! </w:t>
      </w:r>
      <w:r w:rsidR="00854980"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00854980"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00854980"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00854980"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w:t>
      </w:r>
      <w:proofErr w:type="spellStart"/>
      <w:r w:rsidRPr="00A211FC">
        <w:rPr>
          <w:rFonts w:eastAsia="Times New Roman" w:cstheme="minorHAnsi"/>
          <w:color w:val="000000"/>
          <w:sz w:val="24"/>
          <w:szCs w:val="24"/>
          <w:bdr w:val="none" w:sz="0" w:space="0" w:color="auto" w:frame="1"/>
        </w:rPr>
        <w:t>pubmed</w:t>
      </w:r>
      <w:proofErr w:type="spellEnd"/>
      <w:r w:rsidRPr="00A211FC">
        <w:rPr>
          <w:rFonts w:eastAsia="Times New Roman" w:cstheme="minorHAnsi"/>
          <w:color w:val="000000"/>
          <w:sz w:val="24"/>
          <w:szCs w:val="24"/>
          <w:bdr w:val="none" w:sz="0" w:space="0" w:color="auto" w:frame="1"/>
        </w:rPr>
        <w:t xml:space="preserve">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7"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99D5537" w14:textId="77777777" w:rsidR="00DF2746" w:rsidRPr="00A211FC"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33DB09C1"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6F17E7DC" w14:textId="77777777"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B569242" w14:textId="77777777" w:rsidR="00E070C5" w:rsidRPr="00A211FC" w:rsidRDefault="00E070C5" w:rsidP="000423E0">
      <w:pPr>
        <w:rPr>
          <w:rFonts w:cstheme="minorHAnsi"/>
          <w:sz w:val="24"/>
          <w:szCs w:val="24"/>
        </w:rPr>
      </w:pPr>
    </w:p>
    <w:p w14:paraId="3E59CFF7" w14:textId="77777777" w:rsidR="00E070C5" w:rsidRPr="00A211FC" w:rsidRDefault="00E070C5" w:rsidP="000423E0">
      <w:pPr>
        <w:rPr>
          <w:rFonts w:cstheme="minorHAnsi"/>
          <w:sz w:val="24"/>
          <w:szCs w:val="24"/>
        </w:rPr>
      </w:pPr>
    </w:p>
    <w:sdt>
      <w:sdtPr>
        <w:rPr>
          <w:rFonts w:eastAsiaTheme="minorHAnsi" w:cstheme="minorHAnsi"/>
          <w:caps w:val="0"/>
          <w:color w:val="auto"/>
          <w:spacing w:val="0"/>
          <w:sz w:val="24"/>
          <w:szCs w:val="24"/>
        </w:rPr>
        <w:id w:val="-703247796"/>
        <w:docPartObj>
          <w:docPartGallery w:val="Table of Contents"/>
          <w:docPartUnique/>
        </w:docPartObj>
      </w:sdtPr>
      <w:sdtEndPr>
        <w:rPr>
          <w:noProof/>
        </w:rPr>
      </w:sdtEndPr>
      <w:sdtContent>
        <w:p w14:paraId="57C4DBB0" w14:textId="525A8583" w:rsidR="00DF2746" w:rsidRPr="00A211FC" w:rsidRDefault="00DF2746" w:rsidP="00DF2746">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1C5A2D" w:rsidRPr="00A211FC">
            <w:rPr>
              <w:rFonts w:cstheme="minorHAnsi"/>
              <w:sz w:val="24"/>
              <w:szCs w:val="24"/>
            </w:rPr>
            <w:t>December/january</w:t>
          </w:r>
        </w:p>
        <w:p w14:paraId="362CE660" w14:textId="77777777" w:rsidR="00DF2746" w:rsidRPr="00A211FC" w:rsidRDefault="00DF2746" w:rsidP="00DF2746">
          <w:pPr>
            <w:pStyle w:val="TOC1"/>
            <w:tabs>
              <w:tab w:val="right" w:leader="dot" w:pos="9350"/>
            </w:tabs>
            <w:rPr>
              <w:rFonts w:cstheme="minorHAnsi"/>
              <w:sz w:val="24"/>
              <w:szCs w:val="24"/>
            </w:rPr>
          </w:pPr>
        </w:p>
        <w:p w14:paraId="5F68C9D8" w14:textId="12D0A664" w:rsidR="00C90895" w:rsidRDefault="00DF2746">
          <w:pPr>
            <w:pStyle w:val="TOC1"/>
            <w:tabs>
              <w:tab w:val="right" w:leader="dot" w:pos="9350"/>
            </w:tabs>
            <w:rPr>
              <w:noProof/>
              <w:kern w:val="2"/>
              <w:sz w:val="24"/>
              <w:szCs w:val="24"/>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158045232" w:history="1">
            <w:r w:rsidR="00C90895" w:rsidRPr="00495CB9">
              <w:rPr>
                <w:rStyle w:val="Hyperlink"/>
                <w:rFonts w:cstheme="minorHAnsi"/>
                <w:noProof/>
              </w:rPr>
              <w:t>Aripiprazole and Other Third-Generation Antipsychotics as a Risk Factor for Impulse Control Disorders: A Systematic Review and Meta-Analysis</w:t>
            </w:r>
            <w:r w:rsidR="00C90895">
              <w:rPr>
                <w:noProof/>
                <w:webHidden/>
              </w:rPr>
              <w:tab/>
            </w:r>
            <w:r w:rsidR="00C90895">
              <w:rPr>
                <w:noProof/>
                <w:webHidden/>
              </w:rPr>
              <w:fldChar w:fldCharType="begin"/>
            </w:r>
            <w:r w:rsidR="00C90895">
              <w:rPr>
                <w:noProof/>
                <w:webHidden/>
              </w:rPr>
              <w:instrText xml:space="preserve"> PAGEREF _Toc158045232 \h </w:instrText>
            </w:r>
            <w:r w:rsidR="00C90895">
              <w:rPr>
                <w:noProof/>
                <w:webHidden/>
              </w:rPr>
            </w:r>
            <w:r w:rsidR="00C90895">
              <w:rPr>
                <w:noProof/>
                <w:webHidden/>
              </w:rPr>
              <w:fldChar w:fldCharType="separate"/>
            </w:r>
            <w:r w:rsidR="00C90895">
              <w:rPr>
                <w:noProof/>
                <w:webHidden/>
              </w:rPr>
              <w:t>3</w:t>
            </w:r>
            <w:r w:rsidR="00C90895">
              <w:rPr>
                <w:noProof/>
                <w:webHidden/>
              </w:rPr>
              <w:fldChar w:fldCharType="end"/>
            </w:r>
          </w:hyperlink>
        </w:p>
        <w:p w14:paraId="52143FA1" w14:textId="0D6B4B5E" w:rsidR="00C90895" w:rsidRDefault="00C90895">
          <w:pPr>
            <w:pStyle w:val="TOC1"/>
            <w:tabs>
              <w:tab w:val="right" w:leader="dot" w:pos="9350"/>
            </w:tabs>
            <w:rPr>
              <w:noProof/>
              <w:kern w:val="2"/>
              <w:sz w:val="24"/>
              <w:szCs w:val="24"/>
              <w14:ligatures w14:val="standardContextual"/>
            </w:rPr>
          </w:pPr>
          <w:hyperlink w:anchor="_Toc158045233" w:history="1">
            <w:r w:rsidRPr="00495CB9">
              <w:rPr>
                <w:rStyle w:val="Hyperlink"/>
                <w:rFonts w:cstheme="minorHAnsi"/>
                <w:noProof/>
              </w:rPr>
              <w:t>Prescription Stimulant Use During Pregnancy and Risk of Neurodevelopmental Disorders in Children</w:t>
            </w:r>
            <w:r>
              <w:rPr>
                <w:noProof/>
                <w:webHidden/>
              </w:rPr>
              <w:tab/>
            </w:r>
            <w:r>
              <w:rPr>
                <w:noProof/>
                <w:webHidden/>
              </w:rPr>
              <w:fldChar w:fldCharType="begin"/>
            </w:r>
            <w:r>
              <w:rPr>
                <w:noProof/>
                <w:webHidden/>
              </w:rPr>
              <w:instrText xml:space="preserve"> PAGEREF _Toc158045233 \h </w:instrText>
            </w:r>
            <w:r>
              <w:rPr>
                <w:noProof/>
                <w:webHidden/>
              </w:rPr>
            </w:r>
            <w:r>
              <w:rPr>
                <w:noProof/>
                <w:webHidden/>
              </w:rPr>
              <w:fldChar w:fldCharType="separate"/>
            </w:r>
            <w:r>
              <w:rPr>
                <w:noProof/>
                <w:webHidden/>
              </w:rPr>
              <w:t>3</w:t>
            </w:r>
            <w:r>
              <w:rPr>
                <w:noProof/>
                <w:webHidden/>
              </w:rPr>
              <w:fldChar w:fldCharType="end"/>
            </w:r>
          </w:hyperlink>
        </w:p>
        <w:p w14:paraId="6DD9ED5C" w14:textId="2BF90637" w:rsidR="00C90895" w:rsidRDefault="00C90895">
          <w:pPr>
            <w:pStyle w:val="TOC1"/>
            <w:tabs>
              <w:tab w:val="right" w:leader="dot" w:pos="9350"/>
            </w:tabs>
            <w:rPr>
              <w:noProof/>
              <w:kern w:val="2"/>
              <w:sz w:val="24"/>
              <w:szCs w:val="24"/>
              <w14:ligatures w14:val="standardContextual"/>
            </w:rPr>
          </w:pPr>
          <w:hyperlink w:anchor="_Toc158045234" w:history="1">
            <w:r w:rsidRPr="00495CB9">
              <w:rPr>
                <w:rStyle w:val="Hyperlink"/>
                <w:rFonts w:cstheme="minorHAnsi"/>
                <w:noProof/>
              </w:rPr>
              <w:t>Physical and mental health in adolescence: novel insights from a transdiagnostic examination of FitBit data in the ABCD study</w:t>
            </w:r>
            <w:r>
              <w:rPr>
                <w:noProof/>
                <w:webHidden/>
              </w:rPr>
              <w:tab/>
            </w:r>
            <w:r>
              <w:rPr>
                <w:noProof/>
                <w:webHidden/>
              </w:rPr>
              <w:fldChar w:fldCharType="begin"/>
            </w:r>
            <w:r>
              <w:rPr>
                <w:noProof/>
                <w:webHidden/>
              </w:rPr>
              <w:instrText xml:space="preserve"> PAGEREF _Toc158045234 \h </w:instrText>
            </w:r>
            <w:r>
              <w:rPr>
                <w:noProof/>
                <w:webHidden/>
              </w:rPr>
            </w:r>
            <w:r>
              <w:rPr>
                <w:noProof/>
                <w:webHidden/>
              </w:rPr>
              <w:fldChar w:fldCharType="separate"/>
            </w:r>
            <w:r>
              <w:rPr>
                <w:noProof/>
                <w:webHidden/>
              </w:rPr>
              <w:t>5</w:t>
            </w:r>
            <w:r>
              <w:rPr>
                <w:noProof/>
                <w:webHidden/>
              </w:rPr>
              <w:fldChar w:fldCharType="end"/>
            </w:r>
          </w:hyperlink>
        </w:p>
        <w:p w14:paraId="5C73D583" w14:textId="160AD637" w:rsidR="00C90895" w:rsidRDefault="00C90895">
          <w:pPr>
            <w:pStyle w:val="TOC1"/>
            <w:tabs>
              <w:tab w:val="right" w:leader="dot" w:pos="9350"/>
            </w:tabs>
            <w:rPr>
              <w:noProof/>
              <w:kern w:val="2"/>
              <w:sz w:val="24"/>
              <w:szCs w:val="24"/>
              <w14:ligatures w14:val="standardContextual"/>
            </w:rPr>
          </w:pPr>
          <w:hyperlink w:anchor="_Toc158045235" w:history="1">
            <w:r w:rsidRPr="00495CB9">
              <w:rPr>
                <w:rStyle w:val="Hyperlink"/>
                <w:rFonts w:cstheme="minorHAnsi"/>
                <w:noProof/>
              </w:rPr>
              <w:t>Existing and Future Strategies to Manipulate the Gut Microbiota With Diet as a Potential Adjuvant Treatment for Psychiatric Disorders</w:t>
            </w:r>
            <w:r>
              <w:rPr>
                <w:noProof/>
                <w:webHidden/>
              </w:rPr>
              <w:tab/>
            </w:r>
            <w:r>
              <w:rPr>
                <w:noProof/>
                <w:webHidden/>
              </w:rPr>
              <w:fldChar w:fldCharType="begin"/>
            </w:r>
            <w:r>
              <w:rPr>
                <w:noProof/>
                <w:webHidden/>
              </w:rPr>
              <w:instrText xml:space="preserve"> PAGEREF _Toc158045235 \h </w:instrText>
            </w:r>
            <w:r>
              <w:rPr>
                <w:noProof/>
                <w:webHidden/>
              </w:rPr>
            </w:r>
            <w:r>
              <w:rPr>
                <w:noProof/>
                <w:webHidden/>
              </w:rPr>
              <w:fldChar w:fldCharType="separate"/>
            </w:r>
            <w:r>
              <w:rPr>
                <w:noProof/>
                <w:webHidden/>
              </w:rPr>
              <w:t>5</w:t>
            </w:r>
            <w:r>
              <w:rPr>
                <w:noProof/>
                <w:webHidden/>
              </w:rPr>
              <w:fldChar w:fldCharType="end"/>
            </w:r>
          </w:hyperlink>
        </w:p>
        <w:p w14:paraId="62D2DC6D" w14:textId="2412D70D" w:rsidR="00C90895" w:rsidRDefault="00C90895">
          <w:pPr>
            <w:pStyle w:val="TOC1"/>
            <w:tabs>
              <w:tab w:val="right" w:leader="dot" w:pos="9350"/>
            </w:tabs>
            <w:rPr>
              <w:noProof/>
              <w:kern w:val="2"/>
              <w:sz w:val="24"/>
              <w:szCs w:val="24"/>
              <w14:ligatures w14:val="standardContextual"/>
            </w:rPr>
          </w:pPr>
          <w:hyperlink w:anchor="_Toc158045236" w:history="1">
            <w:r w:rsidRPr="00495CB9">
              <w:rPr>
                <w:rStyle w:val="Hyperlink"/>
                <w:rFonts w:cstheme="minorHAnsi"/>
                <w:noProof/>
              </w:rPr>
              <w:t>Features of immunometabolic depression as predictors of antidepressant treatment outcomes: pooled analysis of four clinical trials</w:t>
            </w:r>
            <w:r>
              <w:rPr>
                <w:noProof/>
                <w:webHidden/>
              </w:rPr>
              <w:tab/>
            </w:r>
            <w:r>
              <w:rPr>
                <w:noProof/>
                <w:webHidden/>
              </w:rPr>
              <w:fldChar w:fldCharType="begin"/>
            </w:r>
            <w:r>
              <w:rPr>
                <w:noProof/>
                <w:webHidden/>
              </w:rPr>
              <w:instrText xml:space="preserve"> PAGEREF _Toc158045236 \h </w:instrText>
            </w:r>
            <w:r>
              <w:rPr>
                <w:noProof/>
                <w:webHidden/>
              </w:rPr>
            </w:r>
            <w:r>
              <w:rPr>
                <w:noProof/>
                <w:webHidden/>
              </w:rPr>
              <w:fldChar w:fldCharType="separate"/>
            </w:r>
            <w:r>
              <w:rPr>
                <w:noProof/>
                <w:webHidden/>
              </w:rPr>
              <w:t>6</w:t>
            </w:r>
            <w:r>
              <w:rPr>
                <w:noProof/>
                <w:webHidden/>
              </w:rPr>
              <w:fldChar w:fldCharType="end"/>
            </w:r>
          </w:hyperlink>
        </w:p>
        <w:p w14:paraId="4E5F39A2" w14:textId="6F872F5C" w:rsidR="00C90895" w:rsidRDefault="00C90895">
          <w:pPr>
            <w:pStyle w:val="TOC1"/>
            <w:tabs>
              <w:tab w:val="right" w:leader="dot" w:pos="9350"/>
            </w:tabs>
            <w:rPr>
              <w:noProof/>
              <w:kern w:val="2"/>
              <w:sz w:val="24"/>
              <w:szCs w:val="24"/>
              <w14:ligatures w14:val="standardContextual"/>
            </w:rPr>
          </w:pPr>
          <w:hyperlink w:anchor="_Toc158045237" w:history="1">
            <w:r w:rsidRPr="00495CB9">
              <w:rPr>
                <w:rStyle w:val="Hyperlink"/>
                <w:rFonts w:cstheme="minorHAnsi"/>
                <w:noProof/>
              </w:rPr>
              <w:t>One-Day Peer-Delivered Cognitive Behavioral Therapy-Based Workshops for Postpartum Depression: A Randomized Controlled Trial</w:t>
            </w:r>
            <w:r>
              <w:rPr>
                <w:noProof/>
                <w:webHidden/>
              </w:rPr>
              <w:tab/>
            </w:r>
            <w:r>
              <w:rPr>
                <w:noProof/>
                <w:webHidden/>
              </w:rPr>
              <w:fldChar w:fldCharType="begin"/>
            </w:r>
            <w:r>
              <w:rPr>
                <w:noProof/>
                <w:webHidden/>
              </w:rPr>
              <w:instrText xml:space="preserve"> PAGEREF _Toc158045237 \h </w:instrText>
            </w:r>
            <w:r>
              <w:rPr>
                <w:noProof/>
                <w:webHidden/>
              </w:rPr>
            </w:r>
            <w:r>
              <w:rPr>
                <w:noProof/>
                <w:webHidden/>
              </w:rPr>
              <w:fldChar w:fldCharType="separate"/>
            </w:r>
            <w:r>
              <w:rPr>
                <w:noProof/>
                <w:webHidden/>
              </w:rPr>
              <w:t>7</w:t>
            </w:r>
            <w:r>
              <w:rPr>
                <w:noProof/>
                <w:webHidden/>
              </w:rPr>
              <w:fldChar w:fldCharType="end"/>
            </w:r>
          </w:hyperlink>
        </w:p>
        <w:p w14:paraId="3632D53E" w14:textId="6D2689EC" w:rsidR="00C90895" w:rsidRDefault="00C90895">
          <w:pPr>
            <w:pStyle w:val="TOC1"/>
            <w:tabs>
              <w:tab w:val="right" w:leader="dot" w:pos="9350"/>
            </w:tabs>
            <w:rPr>
              <w:noProof/>
              <w:kern w:val="2"/>
              <w:sz w:val="24"/>
              <w:szCs w:val="24"/>
              <w14:ligatures w14:val="standardContextual"/>
            </w:rPr>
          </w:pPr>
          <w:hyperlink w:anchor="_Toc158045238" w:history="1">
            <w:r w:rsidRPr="00495CB9">
              <w:rPr>
                <w:rStyle w:val="Hyperlink"/>
                <w:rFonts w:cstheme="minorHAnsi"/>
                <w:noProof/>
              </w:rPr>
              <w:t>Magnesium supplementation beneficially affects depression in adults with depressive disorder: a systematic review and meta-analysis of randomized clinical trials</w:t>
            </w:r>
            <w:r>
              <w:rPr>
                <w:noProof/>
                <w:webHidden/>
              </w:rPr>
              <w:tab/>
            </w:r>
            <w:r>
              <w:rPr>
                <w:noProof/>
                <w:webHidden/>
              </w:rPr>
              <w:fldChar w:fldCharType="begin"/>
            </w:r>
            <w:r>
              <w:rPr>
                <w:noProof/>
                <w:webHidden/>
              </w:rPr>
              <w:instrText xml:space="preserve"> PAGEREF _Toc158045238 \h </w:instrText>
            </w:r>
            <w:r>
              <w:rPr>
                <w:noProof/>
                <w:webHidden/>
              </w:rPr>
            </w:r>
            <w:r>
              <w:rPr>
                <w:noProof/>
                <w:webHidden/>
              </w:rPr>
              <w:fldChar w:fldCharType="separate"/>
            </w:r>
            <w:r>
              <w:rPr>
                <w:noProof/>
                <w:webHidden/>
              </w:rPr>
              <w:t>8</w:t>
            </w:r>
            <w:r>
              <w:rPr>
                <w:noProof/>
                <w:webHidden/>
              </w:rPr>
              <w:fldChar w:fldCharType="end"/>
            </w:r>
          </w:hyperlink>
        </w:p>
        <w:p w14:paraId="572B79BF" w14:textId="33579006" w:rsidR="00C90895" w:rsidRDefault="00C90895">
          <w:pPr>
            <w:pStyle w:val="TOC1"/>
            <w:tabs>
              <w:tab w:val="right" w:leader="dot" w:pos="9350"/>
            </w:tabs>
            <w:rPr>
              <w:noProof/>
              <w:kern w:val="2"/>
              <w:sz w:val="24"/>
              <w:szCs w:val="24"/>
              <w14:ligatures w14:val="standardContextual"/>
            </w:rPr>
          </w:pPr>
          <w:hyperlink w:anchor="_Toc158045239" w:history="1">
            <w:r w:rsidRPr="00495CB9">
              <w:rPr>
                <w:rStyle w:val="Hyperlink"/>
                <w:rFonts w:cstheme="minorHAnsi"/>
                <w:noProof/>
              </w:rPr>
              <w:t>Magnesium-ibogaine therapy in veterans with traumatic brain injuries</w:t>
            </w:r>
            <w:r>
              <w:rPr>
                <w:noProof/>
                <w:webHidden/>
              </w:rPr>
              <w:tab/>
            </w:r>
            <w:r>
              <w:rPr>
                <w:noProof/>
                <w:webHidden/>
              </w:rPr>
              <w:fldChar w:fldCharType="begin"/>
            </w:r>
            <w:r>
              <w:rPr>
                <w:noProof/>
                <w:webHidden/>
              </w:rPr>
              <w:instrText xml:space="preserve"> PAGEREF _Toc158045239 \h </w:instrText>
            </w:r>
            <w:r>
              <w:rPr>
                <w:noProof/>
                <w:webHidden/>
              </w:rPr>
            </w:r>
            <w:r>
              <w:rPr>
                <w:noProof/>
                <w:webHidden/>
              </w:rPr>
              <w:fldChar w:fldCharType="separate"/>
            </w:r>
            <w:r>
              <w:rPr>
                <w:noProof/>
                <w:webHidden/>
              </w:rPr>
              <w:t>8</w:t>
            </w:r>
            <w:r>
              <w:rPr>
                <w:noProof/>
                <w:webHidden/>
              </w:rPr>
              <w:fldChar w:fldCharType="end"/>
            </w:r>
          </w:hyperlink>
        </w:p>
        <w:p w14:paraId="39EA8681" w14:textId="67899CC9" w:rsidR="00C90895" w:rsidRDefault="00C90895">
          <w:pPr>
            <w:pStyle w:val="TOC1"/>
            <w:tabs>
              <w:tab w:val="right" w:leader="dot" w:pos="9350"/>
            </w:tabs>
            <w:rPr>
              <w:noProof/>
              <w:kern w:val="2"/>
              <w:sz w:val="24"/>
              <w:szCs w:val="24"/>
              <w14:ligatures w14:val="standardContextual"/>
            </w:rPr>
          </w:pPr>
          <w:hyperlink w:anchor="_Toc158045240" w:history="1">
            <w:r w:rsidRPr="00495CB9">
              <w:rPr>
                <w:rStyle w:val="Hyperlink"/>
                <w:rFonts w:cstheme="minorHAnsi"/>
                <w:noProof/>
              </w:rPr>
              <w:t>Impact of depression on stroke outcomes among stroke survivors: Systematic review and meta-analysis</w:t>
            </w:r>
            <w:r>
              <w:rPr>
                <w:noProof/>
                <w:webHidden/>
              </w:rPr>
              <w:tab/>
            </w:r>
            <w:r>
              <w:rPr>
                <w:noProof/>
                <w:webHidden/>
              </w:rPr>
              <w:fldChar w:fldCharType="begin"/>
            </w:r>
            <w:r>
              <w:rPr>
                <w:noProof/>
                <w:webHidden/>
              </w:rPr>
              <w:instrText xml:space="preserve"> PAGEREF _Toc158045240 \h </w:instrText>
            </w:r>
            <w:r>
              <w:rPr>
                <w:noProof/>
                <w:webHidden/>
              </w:rPr>
            </w:r>
            <w:r>
              <w:rPr>
                <w:noProof/>
                <w:webHidden/>
              </w:rPr>
              <w:fldChar w:fldCharType="separate"/>
            </w:r>
            <w:r>
              <w:rPr>
                <w:noProof/>
                <w:webHidden/>
              </w:rPr>
              <w:t>9</w:t>
            </w:r>
            <w:r>
              <w:rPr>
                <w:noProof/>
                <w:webHidden/>
              </w:rPr>
              <w:fldChar w:fldCharType="end"/>
            </w:r>
          </w:hyperlink>
        </w:p>
        <w:p w14:paraId="7536CED6" w14:textId="267F96E4" w:rsidR="00C90895" w:rsidRDefault="00C90895">
          <w:pPr>
            <w:pStyle w:val="TOC1"/>
            <w:tabs>
              <w:tab w:val="right" w:leader="dot" w:pos="9350"/>
            </w:tabs>
            <w:rPr>
              <w:noProof/>
              <w:kern w:val="2"/>
              <w:sz w:val="24"/>
              <w:szCs w:val="24"/>
              <w14:ligatures w14:val="standardContextual"/>
            </w:rPr>
          </w:pPr>
          <w:hyperlink w:anchor="_Toc158045241" w:history="1">
            <w:r w:rsidRPr="00495CB9">
              <w:rPr>
                <w:rStyle w:val="Hyperlink"/>
                <w:rFonts w:cstheme="minorHAnsi"/>
                <w:noProof/>
              </w:rPr>
              <w:t>Psilocybin-assisted group therapy in patients with cancer diagnosed with a major depressive disorder</w:t>
            </w:r>
            <w:r>
              <w:rPr>
                <w:noProof/>
                <w:webHidden/>
              </w:rPr>
              <w:tab/>
            </w:r>
            <w:r>
              <w:rPr>
                <w:noProof/>
                <w:webHidden/>
              </w:rPr>
              <w:fldChar w:fldCharType="begin"/>
            </w:r>
            <w:r>
              <w:rPr>
                <w:noProof/>
                <w:webHidden/>
              </w:rPr>
              <w:instrText xml:space="preserve"> PAGEREF _Toc158045241 \h </w:instrText>
            </w:r>
            <w:r>
              <w:rPr>
                <w:noProof/>
                <w:webHidden/>
              </w:rPr>
            </w:r>
            <w:r>
              <w:rPr>
                <w:noProof/>
                <w:webHidden/>
              </w:rPr>
              <w:fldChar w:fldCharType="separate"/>
            </w:r>
            <w:r>
              <w:rPr>
                <w:noProof/>
                <w:webHidden/>
              </w:rPr>
              <w:t>10</w:t>
            </w:r>
            <w:r>
              <w:rPr>
                <w:noProof/>
                <w:webHidden/>
              </w:rPr>
              <w:fldChar w:fldCharType="end"/>
            </w:r>
          </w:hyperlink>
        </w:p>
        <w:p w14:paraId="52A9EEFD" w14:textId="36FF0969" w:rsidR="00C90895" w:rsidRDefault="00C90895">
          <w:pPr>
            <w:pStyle w:val="TOC1"/>
            <w:tabs>
              <w:tab w:val="right" w:leader="dot" w:pos="9350"/>
            </w:tabs>
            <w:rPr>
              <w:noProof/>
              <w:kern w:val="2"/>
              <w:sz w:val="24"/>
              <w:szCs w:val="24"/>
              <w14:ligatures w14:val="standardContextual"/>
            </w:rPr>
          </w:pPr>
          <w:hyperlink w:anchor="_Toc158045242" w:history="1">
            <w:r w:rsidRPr="00495CB9">
              <w:rPr>
                <w:rStyle w:val="Hyperlink"/>
                <w:rFonts w:cstheme="minorHAnsi"/>
                <w:noProof/>
              </w:rPr>
              <w:t>Live two-way video versus face-to-face treatment for depression, anxiety, and obsessive-compulsive disorder: A 24-week randomized controlled trial</w:t>
            </w:r>
            <w:r>
              <w:rPr>
                <w:noProof/>
                <w:webHidden/>
              </w:rPr>
              <w:tab/>
            </w:r>
            <w:r>
              <w:rPr>
                <w:noProof/>
                <w:webHidden/>
              </w:rPr>
              <w:fldChar w:fldCharType="begin"/>
            </w:r>
            <w:r>
              <w:rPr>
                <w:noProof/>
                <w:webHidden/>
              </w:rPr>
              <w:instrText xml:space="preserve"> PAGEREF _Toc158045242 \h </w:instrText>
            </w:r>
            <w:r>
              <w:rPr>
                <w:noProof/>
                <w:webHidden/>
              </w:rPr>
            </w:r>
            <w:r>
              <w:rPr>
                <w:noProof/>
                <w:webHidden/>
              </w:rPr>
              <w:fldChar w:fldCharType="separate"/>
            </w:r>
            <w:r>
              <w:rPr>
                <w:noProof/>
                <w:webHidden/>
              </w:rPr>
              <w:t>11</w:t>
            </w:r>
            <w:r>
              <w:rPr>
                <w:noProof/>
                <w:webHidden/>
              </w:rPr>
              <w:fldChar w:fldCharType="end"/>
            </w:r>
          </w:hyperlink>
        </w:p>
        <w:p w14:paraId="5C423481" w14:textId="51C3362B" w:rsidR="00C90895" w:rsidRDefault="00C90895">
          <w:pPr>
            <w:pStyle w:val="TOC1"/>
            <w:tabs>
              <w:tab w:val="right" w:leader="dot" w:pos="9350"/>
            </w:tabs>
            <w:rPr>
              <w:noProof/>
              <w:kern w:val="2"/>
              <w:sz w:val="24"/>
              <w:szCs w:val="24"/>
              <w14:ligatures w14:val="standardContextual"/>
            </w:rPr>
          </w:pPr>
          <w:hyperlink w:anchor="_Toc158045243" w:history="1">
            <w:r w:rsidRPr="00495CB9">
              <w:rPr>
                <w:rStyle w:val="Hyperlink"/>
                <w:rFonts w:cstheme="minorHAnsi"/>
                <w:noProof/>
              </w:rPr>
              <w:t>Psychotropic Drug-Related Weight Gain and Its Treatment</w:t>
            </w:r>
            <w:r>
              <w:rPr>
                <w:noProof/>
                <w:webHidden/>
              </w:rPr>
              <w:tab/>
            </w:r>
            <w:r>
              <w:rPr>
                <w:noProof/>
                <w:webHidden/>
              </w:rPr>
              <w:fldChar w:fldCharType="begin"/>
            </w:r>
            <w:r>
              <w:rPr>
                <w:noProof/>
                <w:webHidden/>
              </w:rPr>
              <w:instrText xml:space="preserve"> PAGEREF _Toc158045243 \h </w:instrText>
            </w:r>
            <w:r>
              <w:rPr>
                <w:noProof/>
                <w:webHidden/>
              </w:rPr>
            </w:r>
            <w:r>
              <w:rPr>
                <w:noProof/>
                <w:webHidden/>
              </w:rPr>
              <w:fldChar w:fldCharType="separate"/>
            </w:r>
            <w:r>
              <w:rPr>
                <w:noProof/>
                <w:webHidden/>
              </w:rPr>
              <w:t>12</w:t>
            </w:r>
            <w:r>
              <w:rPr>
                <w:noProof/>
                <w:webHidden/>
              </w:rPr>
              <w:fldChar w:fldCharType="end"/>
            </w:r>
          </w:hyperlink>
        </w:p>
        <w:p w14:paraId="72E51579" w14:textId="0052B61E" w:rsidR="00C90895" w:rsidRDefault="00C90895">
          <w:pPr>
            <w:pStyle w:val="TOC1"/>
            <w:tabs>
              <w:tab w:val="right" w:leader="dot" w:pos="9350"/>
            </w:tabs>
            <w:rPr>
              <w:noProof/>
              <w:kern w:val="2"/>
              <w:sz w:val="24"/>
              <w:szCs w:val="24"/>
              <w14:ligatures w14:val="standardContextual"/>
            </w:rPr>
          </w:pPr>
          <w:hyperlink w:anchor="_Toc158045244" w:history="1">
            <w:r w:rsidRPr="00495CB9">
              <w:rPr>
                <w:rStyle w:val="Hyperlink"/>
                <w:rFonts w:cstheme="minorHAnsi"/>
                <w:noProof/>
              </w:rPr>
              <w:t>The Impact of Childhood Mental Health and Substance Use on Methylation Aging Into Adulthood</w:t>
            </w:r>
            <w:r>
              <w:rPr>
                <w:noProof/>
                <w:webHidden/>
              </w:rPr>
              <w:tab/>
            </w:r>
            <w:r>
              <w:rPr>
                <w:noProof/>
                <w:webHidden/>
              </w:rPr>
              <w:fldChar w:fldCharType="begin"/>
            </w:r>
            <w:r>
              <w:rPr>
                <w:noProof/>
                <w:webHidden/>
              </w:rPr>
              <w:instrText xml:space="preserve"> PAGEREF _Toc158045244 \h </w:instrText>
            </w:r>
            <w:r>
              <w:rPr>
                <w:noProof/>
                <w:webHidden/>
              </w:rPr>
            </w:r>
            <w:r>
              <w:rPr>
                <w:noProof/>
                <w:webHidden/>
              </w:rPr>
              <w:fldChar w:fldCharType="separate"/>
            </w:r>
            <w:r>
              <w:rPr>
                <w:noProof/>
                <w:webHidden/>
              </w:rPr>
              <w:t>12</w:t>
            </w:r>
            <w:r>
              <w:rPr>
                <w:noProof/>
                <w:webHidden/>
              </w:rPr>
              <w:fldChar w:fldCharType="end"/>
            </w:r>
          </w:hyperlink>
        </w:p>
        <w:p w14:paraId="5975B047" w14:textId="0959A940" w:rsidR="00C90895" w:rsidRDefault="00C90895">
          <w:pPr>
            <w:pStyle w:val="TOC1"/>
            <w:tabs>
              <w:tab w:val="right" w:leader="dot" w:pos="9350"/>
            </w:tabs>
            <w:rPr>
              <w:noProof/>
              <w:kern w:val="2"/>
              <w:sz w:val="24"/>
              <w:szCs w:val="24"/>
              <w14:ligatures w14:val="standardContextual"/>
            </w:rPr>
          </w:pPr>
          <w:hyperlink w:anchor="_Toc158045245" w:history="1">
            <w:r w:rsidRPr="00495CB9">
              <w:rPr>
                <w:rStyle w:val="Hyperlink"/>
                <w:rFonts w:cstheme="minorHAnsi"/>
                <w:noProof/>
              </w:rPr>
              <w:t>Incidence Trajectories of Psychiatric Disorders After Assault, Injury, and Bereavement</w:t>
            </w:r>
            <w:r>
              <w:rPr>
                <w:noProof/>
                <w:webHidden/>
              </w:rPr>
              <w:tab/>
            </w:r>
            <w:r>
              <w:rPr>
                <w:noProof/>
                <w:webHidden/>
              </w:rPr>
              <w:fldChar w:fldCharType="begin"/>
            </w:r>
            <w:r>
              <w:rPr>
                <w:noProof/>
                <w:webHidden/>
              </w:rPr>
              <w:instrText xml:space="preserve"> PAGEREF _Toc158045245 \h </w:instrText>
            </w:r>
            <w:r>
              <w:rPr>
                <w:noProof/>
                <w:webHidden/>
              </w:rPr>
            </w:r>
            <w:r>
              <w:rPr>
                <w:noProof/>
                <w:webHidden/>
              </w:rPr>
              <w:fldChar w:fldCharType="separate"/>
            </w:r>
            <w:r>
              <w:rPr>
                <w:noProof/>
                <w:webHidden/>
              </w:rPr>
              <w:t>13</w:t>
            </w:r>
            <w:r>
              <w:rPr>
                <w:noProof/>
                <w:webHidden/>
              </w:rPr>
              <w:fldChar w:fldCharType="end"/>
            </w:r>
          </w:hyperlink>
        </w:p>
        <w:p w14:paraId="12F86E3C" w14:textId="1371C6BF" w:rsidR="00C90895" w:rsidRDefault="00C90895">
          <w:pPr>
            <w:pStyle w:val="TOC1"/>
            <w:tabs>
              <w:tab w:val="right" w:leader="dot" w:pos="9350"/>
            </w:tabs>
            <w:rPr>
              <w:noProof/>
              <w:kern w:val="2"/>
              <w:sz w:val="24"/>
              <w:szCs w:val="24"/>
              <w14:ligatures w14:val="standardContextual"/>
            </w:rPr>
          </w:pPr>
          <w:hyperlink w:anchor="_Toc158045246" w:history="1">
            <w:r w:rsidRPr="00495CB9">
              <w:rPr>
                <w:rStyle w:val="Hyperlink"/>
                <w:rFonts w:cstheme="minorHAnsi"/>
                <w:noProof/>
              </w:rPr>
              <w:t>Remission and Relapse Across Three Years in Pediatric Obsessive-Compulsive Disorder Following Evidence-Based Treatments</w:t>
            </w:r>
            <w:r>
              <w:rPr>
                <w:noProof/>
                <w:webHidden/>
              </w:rPr>
              <w:tab/>
            </w:r>
            <w:r>
              <w:rPr>
                <w:noProof/>
                <w:webHidden/>
              </w:rPr>
              <w:fldChar w:fldCharType="begin"/>
            </w:r>
            <w:r>
              <w:rPr>
                <w:noProof/>
                <w:webHidden/>
              </w:rPr>
              <w:instrText xml:space="preserve"> PAGEREF _Toc158045246 \h </w:instrText>
            </w:r>
            <w:r>
              <w:rPr>
                <w:noProof/>
                <w:webHidden/>
              </w:rPr>
            </w:r>
            <w:r>
              <w:rPr>
                <w:noProof/>
                <w:webHidden/>
              </w:rPr>
              <w:fldChar w:fldCharType="separate"/>
            </w:r>
            <w:r>
              <w:rPr>
                <w:noProof/>
                <w:webHidden/>
              </w:rPr>
              <w:t>14</w:t>
            </w:r>
            <w:r>
              <w:rPr>
                <w:noProof/>
                <w:webHidden/>
              </w:rPr>
              <w:fldChar w:fldCharType="end"/>
            </w:r>
          </w:hyperlink>
        </w:p>
        <w:p w14:paraId="5FA9B07D" w14:textId="6A3C5C5A" w:rsidR="00C90895" w:rsidRDefault="00C90895">
          <w:pPr>
            <w:pStyle w:val="TOC1"/>
            <w:tabs>
              <w:tab w:val="right" w:leader="dot" w:pos="9350"/>
            </w:tabs>
            <w:rPr>
              <w:noProof/>
              <w:kern w:val="2"/>
              <w:sz w:val="24"/>
              <w:szCs w:val="24"/>
              <w14:ligatures w14:val="standardContextual"/>
            </w:rPr>
          </w:pPr>
          <w:hyperlink w:anchor="_Toc158045247" w:history="1">
            <w:r w:rsidRPr="00495CB9">
              <w:rPr>
                <w:rStyle w:val="Hyperlink"/>
                <w:rFonts w:cstheme="minorHAnsi"/>
                <w:noProof/>
              </w:rPr>
              <w:t>Trends in Incident Prescriptions for Behavioral Health Medications in the US, 2018-2022</w:t>
            </w:r>
            <w:r>
              <w:rPr>
                <w:noProof/>
                <w:webHidden/>
              </w:rPr>
              <w:tab/>
            </w:r>
            <w:r>
              <w:rPr>
                <w:noProof/>
                <w:webHidden/>
              </w:rPr>
              <w:fldChar w:fldCharType="begin"/>
            </w:r>
            <w:r>
              <w:rPr>
                <w:noProof/>
                <w:webHidden/>
              </w:rPr>
              <w:instrText xml:space="preserve"> PAGEREF _Toc158045247 \h </w:instrText>
            </w:r>
            <w:r>
              <w:rPr>
                <w:noProof/>
                <w:webHidden/>
              </w:rPr>
            </w:r>
            <w:r>
              <w:rPr>
                <w:noProof/>
                <w:webHidden/>
              </w:rPr>
              <w:fldChar w:fldCharType="separate"/>
            </w:r>
            <w:r>
              <w:rPr>
                <w:noProof/>
                <w:webHidden/>
              </w:rPr>
              <w:t>15</w:t>
            </w:r>
            <w:r>
              <w:rPr>
                <w:noProof/>
                <w:webHidden/>
              </w:rPr>
              <w:fldChar w:fldCharType="end"/>
            </w:r>
          </w:hyperlink>
        </w:p>
        <w:p w14:paraId="0BE48A33" w14:textId="4324272D" w:rsidR="00C90895" w:rsidRDefault="00C90895">
          <w:pPr>
            <w:pStyle w:val="TOC1"/>
            <w:tabs>
              <w:tab w:val="right" w:leader="dot" w:pos="9350"/>
            </w:tabs>
            <w:rPr>
              <w:noProof/>
              <w:kern w:val="2"/>
              <w:sz w:val="24"/>
              <w:szCs w:val="24"/>
              <w14:ligatures w14:val="standardContextual"/>
            </w:rPr>
          </w:pPr>
          <w:hyperlink w:anchor="_Toc158045248" w:history="1">
            <w:r w:rsidRPr="00495CB9">
              <w:rPr>
                <w:rStyle w:val="Hyperlink"/>
                <w:rFonts w:cstheme="minorHAnsi"/>
                <w:noProof/>
              </w:rPr>
              <w:t>Single-Dose Synthetic Psilocybin With Psychotherapy for Treatment-Resistant Bipolar Type II Major Depressive Episodes: A Nonrandomized Controlled Trial</w:t>
            </w:r>
            <w:r>
              <w:rPr>
                <w:noProof/>
                <w:webHidden/>
              </w:rPr>
              <w:tab/>
            </w:r>
            <w:r>
              <w:rPr>
                <w:noProof/>
                <w:webHidden/>
              </w:rPr>
              <w:fldChar w:fldCharType="begin"/>
            </w:r>
            <w:r>
              <w:rPr>
                <w:noProof/>
                <w:webHidden/>
              </w:rPr>
              <w:instrText xml:space="preserve"> PAGEREF _Toc158045248 \h </w:instrText>
            </w:r>
            <w:r>
              <w:rPr>
                <w:noProof/>
                <w:webHidden/>
              </w:rPr>
            </w:r>
            <w:r>
              <w:rPr>
                <w:noProof/>
                <w:webHidden/>
              </w:rPr>
              <w:fldChar w:fldCharType="separate"/>
            </w:r>
            <w:r>
              <w:rPr>
                <w:noProof/>
                <w:webHidden/>
              </w:rPr>
              <w:t>17</w:t>
            </w:r>
            <w:r>
              <w:rPr>
                <w:noProof/>
                <w:webHidden/>
              </w:rPr>
              <w:fldChar w:fldCharType="end"/>
            </w:r>
          </w:hyperlink>
        </w:p>
        <w:p w14:paraId="59967163" w14:textId="3A450102" w:rsidR="00C90895" w:rsidRDefault="00C90895">
          <w:pPr>
            <w:pStyle w:val="TOC2"/>
            <w:tabs>
              <w:tab w:val="right" w:leader="dot" w:pos="9350"/>
            </w:tabs>
            <w:rPr>
              <w:rFonts w:eastAsiaTheme="minorEastAsia"/>
              <w:noProof/>
              <w:kern w:val="2"/>
              <w:sz w:val="24"/>
              <w:szCs w:val="24"/>
              <w14:ligatures w14:val="standardContextual"/>
            </w:rPr>
          </w:pPr>
          <w:hyperlink w:anchor="_Toc158045249" w:history="1">
            <w:r w:rsidRPr="00495CB9">
              <w:rPr>
                <w:rStyle w:val="Hyperlink"/>
                <w:rFonts w:cstheme="minorHAnsi"/>
                <w:caps/>
                <w:noProof/>
                <w:spacing w:val="15"/>
                <w:shd w:val="clear" w:color="auto" w:fill="5B9BD5" w:themeFill="accent1"/>
              </w:rPr>
              <w:t>clinical reviews</w:t>
            </w:r>
            <w:r>
              <w:rPr>
                <w:noProof/>
                <w:webHidden/>
              </w:rPr>
              <w:tab/>
            </w:r>
            <w:r>
              <w:rPr>
                <w:noProof/>
                <w:webHidden/>
              </w:rPr>
              <w:fldChar w:fldCharType="begin"/>
            </w:r>
            <w:r>
              <w:rPr>
                <w:noProof/>
                <w:webHidden/>
              </w:rPr>
              <w:instrText xml:space="preserve"> PAGEREF _Toc158045249 \h </w:instrText>
            </w:r>
            <w:r>
              <w:rPr>
                <w:noProof/>
                <w:webHidden/>
              </w:rPr>
            </w:r>
            <w:r>
              <w:rPr>
                <w:noProof/>
                <w:webHidden/>
              </w:rPr>
              <w:fldChar w:fldCharType="separate"/>
            </w:r>
            <w:r>
              <w:rPr>
                <w:noProof/>
                <w:webHidden/>
              </w:rPr>
              <w:t>18</w:t>
            </w:r>
            <w:r>
              <w:rPr>
                <w:noProof/>
                <w:webHidden/>
              </w:rPr>
              <w:fldChar w:fldCharType="end"/>
            </w:r>
          </w:hyperlink>
        </w:p>
        <w:p w14:paraId="7B88B8E7" w14:textId="4F340ADA" w:rsidR="00C90895" w:rsidRDefault="00C90895">
          <w:pPr>
            <w:pStyle w:val="TOC1"/>
            <w:tabs>
              <w:tab w:val="right" w:leader="dot" w:pos="9350"/>
            </w:tabs>
            <w:rPr>
              <w:noProof/>
              <w:kern w:val="2"/>
              <w:sz w:val="24"/>
              <w:szCs w:val="24"/>
              <w14:ligatures w14:val="standardContextual"/>
            </w:rPr>
          </w:pPr>
          <w:hyperlink w:anchor="_Toc158045250" w:history="1">
            <w:r w:rsidRPr="00495CB9">
              <w:rPr>
                <w:rStyle w:val="Hyperlink"/>
                <w:rFonts w:cstheme="minorHAnsi"/>
                <w:b/>
                <w:bCs/>
                <w:noProof/>
              </w:rPr>
              <w:t>Psychosis superspectrum I: Nosology, etiology, and lifespan development</w:t>
            </w:r>
            <w:r>
              <w:rPr>
                <w:noProof/>
                <w:webHidden/>
              </w:rPr>
              <w:tab/>
            </w:r>
            <w:r>
              <w:rPr>
                <w:noProof/>
                <w:webHidden/>
              </w:rPr>
              <w:fldChar w:fldCharType="begin"/>
            </w:r>
            <w:r>
              <w:rPr>
                <w:noProof/>
                <w:webHidden/>
              </w:rPr>
              <w:instrText xml:space="preserve"> PAGEREF _Toc158045250 \h </w:instrText>
            </w:r>
            <w:r>
              <w:rPr>
                <w:noProof/>
                <w:webHidden/>
              </w:rPr>
            </w:r>
            <w:r>
              <w:rPr>
                <w:noProof/>
                <w:webHidden/>
              </w:rPr>
              <w:fldChar w:fldCharType="separate"/>
            </w:r>
            <w:r>
              <w:rPr>
                <w:noProof/>
                <w:webHidden/>
              </w:rPr>
              <w:t>18</w:t>
            </w:r>
            <w:r>
              <w:rPr>
                <w:noProof/>
                <w:webHidden/>
              </w:rPr>
              <w:fldChar w:fldCharType="end"/>
            </w:r>
          </w:hyperlink>
        </w:p>
        <w:p w14:paraId="472A833C" w14:textId="477DC79A" w:rsidR="00C90895" w:rsidRDefault="00C90895">
          <w:pPr>
            <w:pStyle w:val="TOC1"/>
            <w:tabs>
              <w:tab w:val="right" w:leader="dot" w:pos="9350"/>
            </w:tabs>
            <w:rPr>
              <w:noProof/>
              <w:kern w:val="2"/>
              <w:sz w:val="24"/>
              <w:szCs w:val="24"/>
              <w14:ligatures w14:val="standardContextual"/>
            </w:rPr>
          </w:pPr>
          <w:hyperlink w:anchor="_Toc158045251" w:history="1">
            <w:r w:rsidRPr="00495CB9">
              <w:rPr>
                <w:rStyle w:val="Hyperlink"/>
                <w:rFonts w:cstheme="minorHAnsi"/>
                <w:noProof/>
              </w:rPr>
              <w:t>Components and Delivery Formats of Cognitive Behavioral Therapy for Chronic Insomnia in Adults: A Systematic Review and Component Network Meta-Analysis</w:t>
            </w:r>
            <w:r>
              <w:rPr>
                <w:noProof/>
                <w:webHidden/>
              </w:rPr>
              <w:tab/>
            </w:r>
            <w:r>
              <w:rPr>
                <w:noProof/>
                <w:webHidden/>
              </w:rPr>
              <w:fldChar w:fldCharType="begin"/>
            </w:r>
            <w:r>
              <w:rPr>
                <w:noProof/>
                <w:webHidden/>
              </w:rPr>
              <w:instrText xml:space="preserve"> PAGEREF _Toc158045251 \h </w:instrText>
            </w:r>
            <w:r>
              <w:rPr>
                <w:noProof/>
                <w:webHidden/>
              </w:rPr>
            </w:r>
            <w:r>
              <w:rPr>
                <w:noProof/>
                <w:webHidden/>
              </w:rPr>
              <w:fldChar w:fldCharType="separate"/>
            </w:r>
            <w:r>
              <w:rPr>
                <w:noProof/>
                <w:webHidden/>
              </w:rPr>
              <w:t>19</w:t>
            </w:r>
            <w:r>
              <w:rPr>
                <w:noProof/>
                <w:webHidden/>
              </w:rPr>
              <w:fldChar w:fldCharType="end"/>
            </w:r>
          </w:hyperlink>
        </w:p>
        <w:p w14:paraId="44F95E74" w14:textId="79D250EE" w:rsidR="00C90895" w:rsidRDefault="00C90895">
          <w:pPr>
            <w:pStyle w:val="TOC2"/>
            <w:tabs>
              <w:tab w:val="right" w:leader="dot" w:pos="9350"/>
            </w:tabs>
            <w:rPr>
              <w:rFonts w:eastAsiaTheme="minorEastAsia"/>
              <w:noProof/>
              <w:kern w:val="2"/>
              <w:sz w:val="24"/>
              <w:szCs w:val="24"/>
              <w14:ligatures w14:val="standardContextual"/>
            </w:rPr>
          </w:pPr>
          <w:hyperlink w:anchor="_Toc158045252" w:history="1">
            <w:r w:rsidRPr="00495CB9">
              <w:rPr>
                <w:rStyle w:val="Hyperlink"/>
                <w:rFonts w:cstheme="minorHAnsi"/>
                <w:caps/>
                <w:noProof/>
                <w:spacing w:val="15"/>
                <w:shd w:val="clear" w:color="auto" w:fill="5B9BD5" w:themeFill="accent1"/>
              </w:rPr>
              <w:t>Interesting Viewpoints</w:t>
            </w:r>
            <w:r w:rsidRPr="00495CB9">
              <w:rPr>
                <w:rStyle w:val="Hyperlink"/>
                <w:rFonts w:cstheme="minorHAnsi"/>
                <w:noProof/>
              </w:rPr>
              <w:t>:</w:t>
            </w:r>
            <w:r>
              <w:rPr>
                <w:noProof/>
                <w:webHidden/>
              </w:rPr>
              <w:tab/>
            </w:r>
            <w:r>
              <w:rPr>
                <w:noProof/>
                <w:webHidden/>
              </w:rPr>
              <w:fldChar w:fldCharType="begin"/>
            </w:r>
            <w:r>
              <w:rPr>
                <w:noProof/>
                <w:webHidden/>
              </w:rPr>
              <w:instrText xml:space="preserve"> PAGEREF _Toc158045252 \h </w:instrText>
            </w:r>
            <w:r>
              <w:rPr>
                <w:noProof/>
                <w:webHidden/>
              </w:rPr>
            </w:r>
            <w:r>
              <w:rPr>
                <w:noProof/>
                <w:webHidden/>
              </w:rPr>
              <w:fldChar w:fldCharType="separate"/>
            </w:r>
            <w:r>
              <w:rPr>
                <w:noProof/>
                <w:webHidden/>
              </w:rPr>
              <w:t>20</w:t>
            </w:r>
            <w:r>
              <w:rPr>
                <w:noProof/>
                <w:webHidden/>
              </w:rPr>
              <w:fldChar w:fldCharType="end"/>
            </w:r>
          </w:hyperlink>
        </w:p>
        <w:p w14:paraId="2DA950D3" w14:textId="78E6BF59" w:rsidR="00C90895" w:rsidRDefault="00C90895">
          <w:pPr>
            <w:pStyle w:val="TOC1"/>
            <w:tabs>
              <w:tab w:val="right" w:leader="dot" w:pos="9350"/>
            </w:tabs>
            <w:rPr>
              <w:noProof/>
              <w:kern w:val="2"/>
              <w:sz w:val="24"/>
              <w:szCs w:val="24"/>
              <w14:ligatures w14:val="standardContextual"/>
            </w:rPr>
          </w:pPr>
          <w:hyperlink w:anchor="_Toc158045253" w:history="1">
            <w:r w:rsidRPr="00495CB9">
              <w:rPr>
                <w:rStyle w:val="Hyperlink"/>
                <w:rFonts w:cstheme="minorHAnsi"/>
                <w:noProof/>
              </w:rPr>
              <w:t>Psychedelics in Addiction Treatment-Navigating a Sociopolitical Rift</w:t>
            </w:r>
            <w:r>
              <w:rPr>
                <w:noProof/>
                <w:webHidden/>
              </w:rPr>
              <w:tab/>
            </w:r>
            <w:r>
              <w:rPr>
                <w:noProof/>
                <w:webHidden/>
              </w:rPr>
              <w:fldChar w:fldCharType="begin"/>
            </w:r>
            <w:r>
              <w:rPr>
                <w:noProof/>
                <w:webHidden/>
              </w:rPr>
              <w:instrText xml:space="preserve"> PAGEREF _Toc158045253 \h </w:instrText>
            </w:r>
            <w:r>
              <w:rPr>
                <w:noProof/>
                <w:webHidden/>
              </w:rPr>
            </w:r>
            <w:r>
              <w:rPr>
                <w:noProof/>
                <w:webHidden/>
              </w:rPr>
              <w:fldChar w:fldCharType="separate"/>
            </w:r>
            <w:r>
              <w:rPr>
                <w:noProof/>
                <w:webHidden/>
              </w:rPr>
              <w:t>20</w:t>
            </w:r>
            <w:r>
              <w:rPr>
                <w:noProof/>
                <w:webHidden/>
              </w:rPr>
              <w:fldChar w:fldCharType="end"/>
            </w:r>
          </w:hyperlink>
        </w:p>
        <w:p w14:paraId="538E6978" w14:textId="43CBDEE7" w:rsidR="00C90895" w:rsidRDefault="00C90895">
          <w:pPr>
            <w:pStyle w:val="TOC1"/>
            <w:tabs>
              <w:tab w:val="right" w:leader="dot" w:pos="9350"/>
            </w:tabs>
            <w:rPr>
              <w:noProof/>
              <w:kern w:val="2"/>
              <w:sz w:val="24"/>
              <w:szCs w:val="24"/>
              <w14:ligatures w14:val="standardContextual"/>
            </w:rPr>
          </w:pPr>
          <w:hyperlink w:anchor="_Toc158045254" w:history="1">
            <w:r w:rsidRPr="00495CB9">
              <w:rPr>
                <w:rStyle w:val="Hyperlink"/>
                <w:rFonts w:cstheme="minorHAnsi"/>
                <w:noProof/>
              </w:rPr>
              <w:t>Physical healing as a function of perceived time</w:t>
            </w:r>
            <w:r>
              <w:rPr>
                <w:noProof/>
                <w:webHidden/>
              </w:rPr>
              <w:tab/>
            </w:r>
            <w:r>
              <w:rPr>
                <w:noProof/>
                <w:webHidden/>
              </w:rPr>
              <w:fldChar w:fldCharType="begin"/>
            </w:r>
            <w:r>
              <w:rPr>
                <w:noProof/>
                <w:webHidden/>
              </w:rPr>
              <w:instrText xml:space="preserve"> PAGEREF _Toc158045254 \h </w:instrText>
            </w:r>
            <w:r>
              <w:rPr>
                <w:noProof/>
                <w:webHidden/>
              </w:rPr>
            </w:r>
            <w:r>
              <w:rPr>
                <w:noProof/>
                <w:webHidden/>
              </w:rPr>
              <w:fldChar w:fldCharType="separate"/>
            </w:r>
            <w:r>
              <w:rPr>
                <w:noProof/>
                <w:webHidden/>
              </w:rPr>
              <w:t>20</w:t>
            </w:r>
            <w:r>
              <w:rPr>
                <w:noProof/>
                <w:webHidden/>
              </w:rPr>
              <w:fldChar w:fldCharType="end"/>
            </w:r>
          </w:hyperlink>
        </w:p>
        <w:p w14:paraId="197110FD" w14:textId="10FB324A" w:rsidR="00C90895" w:rsidRDefault="00C90895">
          <w:pPr>
            <w:pStyle w:val="TOC1"/>
            <w:tabs>
              <w:tab w:val="right" w:leader="dot" w:pos="9350"/>
            </w:tabs>
            <w:rPr>
              <w:noProof/>
              <w:kern w:val="2"/>
              <w:sz w:val="24"/>
              <w:szCs w:val="24"/>
              <w14:ligatures w14:val="standardContextual"/>
            </w:rPr>
          </w:pPr>
          <w:hyperlink w:anchor="_Toc158045255" w:history="1">
            <w:r w:rsidRPr="00495CB9">
              <w:rPr>
                <w:rStyle w:val="Hyperlink"/>
                <w:rFonts w:cstheme="minorHAnsi"/>
                <w:noProof/>
              </w:rPr>
              <w:t>"Scalable Privilege"-How AI Could Turn Data From the Best Medical Systems Into Better Care for All</w:t>
            </w:r>
            <w:r>
              <w:rPr>
                <w:noProof/>
                <w:webHidden/>
              </w:rPr>
              <w:tab/>
            </w:r>
            <w:r>
              <w:rPr>
                <w:noProof/>
                <w:webHidden/>
              </w:rPr>
              <w:fldChar w:fldCharType="begin"/>
            </w:r>
            <w:r>
              <w:rPr>
                <w:noProof/>
                <w:webHidden/>
              </w:rPr>
              <w:instrText xml:space="preserve"> PAGEREF _Toc158045255 \h </w:instrText>
            </w:r>
            <w:r>
              <w:rPr>
                <w:noProof/>
                <w:webHidden/>
              </w:rPr>
            </w:r>
            <w:r>
              <w:rPr>
                <w:noProof/>
                <w:webHidden/>
              </w:rPr>
              <w:fldChar w:fldCharType="separate"/>
            </w:r>
            <w:r>
              <w:rPr>
                <w:noProof/>
                <w:webHidden/>
              </w:rPr>
              <w:t>21</w:t>
            </w:r>
            <w:r>
              <w:rPr>
                <w:noProof/>
                <w:webHidden/>
              </w:rPr>
              <w:fldChar w:fldCharType="end"/>
            </w:r>
          </w:hyperlink>
        </w:p>
        <w:p w14:paraId="47C94D3A" w14:textId="21A57F12" w:rsidR="0045378A" w:rsidRPr="00A211FC" w:rsidRDefault="00DF2746" w:rsidP="0045378A">
          <w:pPr>
            <w:rPr>
              <w:rFonts w:cstheme="minorHAnsi"/>
              <w:noProof/>
              <w:sz w:val="24"/>
              <w:szCs w:val="24"/>
            </w:rPr>
          </w:pPr>
          <w:r w:rsidRPr="00A211FC">
            <w:rPr>
              <w:rFonts w:cstheme="minorHAnsi"/>
              <w:noProof/>
              <w:sz w:val="24"/>
              <w:szCs w:val="24"/>
            </w:rPr>
            <w:lastRenderedPageBreak/>
            <w:fldChar w:fldCharType="end"/>
          </w:r>
        </w:p>
      </w:sdtContent>
    </w:sdt>
    <w:p w14:paraId="1BF0F7EF" w14:textId="08550ED4" w:rsidR="00F05E92" w:rsidRPr="00A211FC" w:rsidRDefault="00F05E92" w:rsidP="008D1928">
      <w:pPr>
        <w:pStyle w:val="paragraph"/>
        <w:spacing w:before="0" w:beforeAutospacing="0" w:after="0" w:afterAutospacing="0"/>
        <w:textAlignment w:val="baseline"/>
        <w:rPr>
          <w:rStyle w:val="eop"/>
          <w:rFonts w:asciiTheme="minorHAnsi" w:hAnsiTheme="minorHAnsi" w:cstheme="minorHAnsi"/>
          <w:color w:val="212121"/>
        </w:rPr>
      </w:pPr>
    </w:p>
    <w:p w14:paraId="105766B0" w14:textId="77777777" w:rsidR="00F05E92" w:rsidRPr="00A211FC" w:rsidRDefault="00F05E92" w:rsidP="008D1928">
      <w:pPr>
        <w:pStyle w:val="paragraph"/>
        <w:spacing w:before="0" w:beforeAutospacing="0" w:after="0" w:afterAutospacing="0"/>
        <w:textAlignment w:val="baseline"/>
        <w:rPr>
          <w:rStyle w:val="eop"/>
          <w:rFonts w:asciiTheme="minorHAnsi" w:hAnsiTheme="minorHAnsi" w:cstheme="minorHAnsi"/>
          <w:color w:val="212121"/>
        </w:rPr>
      </w:pPr>
    </w:p>
    <w:p w14:paraId="387EA6F1" w14:textId="77777777" w:rsidR="00BD4DE6" w:rsidRPr="00A211FC" w:rsidRDefault="00BD4DE6" w:rsidP="00BD4DE6">
      <w:pPr>
        <w:pStyle w:val="Heading1"/>
        <w:shd w:val="clear" w:color="auto" w:fill="FFFFFF"/>
        <w:rPr>
          <w:rFonts w:cstheme="minorHAnsi"/>
          <w:color w:val="212121"/>
          <w:sz w:val="24"/>
          <w:szCs w:val="24"/>
        </w:rPr>
      </w:pPr>
      <w:bookmarkStart w:id="0" w:name="_Toc158045232"/>
      <w:r w:rsidRPr="00A211FC">
        <w:rPr>
          <w:rFonts w:cstheme="minorHAnsi"/>
          <w:color w:val="212121"/>
          <w:sz w:val="24"/>
          <w:szCs w:val="24"/>
        </w:rPr>
        <w:t>Aripiprazole and Other Third-Generation Antipsychotics as a Risk Factor for Impulse Control Disorders: A Systematic Review and Meta-Analysis</w:t>
      </w:r>
      <w:bookmarkEnd w:id="0"/>
    </w:p>
    <w:p w14:paraId="7E578FE2" w14:textId="1039144B" w:rsidR="00F05E92" w:rsidRPr="00A211FC" w:rsidRDefault="00BD4DE6" w:rsidP="008D1928">
      <w:pPr>
        <w:pStyle w:val="paragraph"/>
        <w:spacing w:before="0" w:beforeAutospacing="0" w:after="0" w:afterAutospacing="0"/>
        <w:textAlignment w:val="baseline"/>
        <w:rPr>
          <w:rFonts w:asciiTheme="minorHAnsi" w:hAnsiTheme="minorHAnsi" w:cstheme="minorHAnsi"/>
          <w:color w:val="212121"/>
          <w:shd w:val="clear" w:color="auto" w:fill="FFFFFF"/>
        </w:rPr>
      </w:pPr>
      <w:r w:rsidRPr="00A211FC">
        <w:rPr>
          <w:rFonts w:asciiTheme="minorHAnsi" w:hAnsiTheme="minorHAnsi" w:cstheme="minorHAnsi"/>
        </w:rPr>
        <w:br/>
      </w:r>
      <w:r w:rsidRPr="00A211FC">
        <w:rPr>
          <w:rFonts w:asciiTheme="minorHAnsi" w:hAnsiTheme="minorHAnsi" w:cstheme="minorHAnsi"/>
          <w:color w:val="212121"/>
          <w:shd w:val="clear" w:color="auto" w:fill="FFFFFF"/>
        </w:rPr>
        <w:t xml:space="preserve">Williams BD, Lee K, </w:t>
      </w:r>
      <w:proofErr w:type="spellStart"/>
      <w:r w:rsidRPr="00A211FC">
        <w:rPr>
          <w:rFonts w:asciiTheme="minorHAnsi" w:hAnsiTheme="minorHAnsi" w:cstheme="minorHAnsi"/>
          <w:color w:val="212121"/>
          <w:shd w:val="clear" w:color="auto" w:fill="FFFFFF"/>
        </w:rPr>
        <w:t>Ewah</w:t>
      </w:r>
      <w:proofErr w:type="spellEnd"/>
      <w:r w:rsidRPr="00A211FC">
        <w:rPr>
          <w:rFonts w:asciiTheme="minorHAnsi" w:hAnsiTheme="minorHAnsi" w:cstheme="minorHAnsi"/>
          <w:color w:val="212121"/>
          <w:shd w:val="clear" w:color="auto" w:fill="FFFFFF"/>
        </w:rPr>
        <w:t xml:space="preserve"> SO, Neelam K. Aripiprazole and Other Third-Generation Antipsychotics as a Risk Factor for Impulse Control Disorders: A Systematic Review and Meta-Analysis. J Clin </w:t>
      </w:r>
      <w:proofErr w:type="spellStart"/>
      <w:r w:rsidRPr="00A211FC">
        <w:rPr>
          <w:rFonts w:asciiTheme="minorHAnsi" w:hAnsiTheme="minorHAnsi" w:cstheme="minorHAnsi"/>
          <w:color w:val="212121"/>
          <w:shd w:val="clear" w:color="auto" w:fill="FFFFFF"/>
        </w:rPr>
        <w:t>Psychopharmacol</w:t>
      </w:r>
      <w:proofErr w:type="spellEnd"/>
      <w:r w:rsidRPr="00A211FC">
        <w:rPr>
          <w:rFonts w:asciiTheme="minorHAnsi" w:hAnsiTheme="minorHAnsi" w:cstheme="minorHAnsi"/>
          <w:color w:val="212121"/>
          <w:shd w:val="clear" w:color="auto" w:fill="FFFFFF"/>
        </w:rPr>
        <w:t xml:space="preserve">. 2024 Jan-Feb 01;44(1):39-48. </w:t>
      </w:r>
      <w:proofErr w:type="spellStart"/>
      <w:r w:rsidRPr="00A211FC">
        <w:rPr>
          <w:rFonts w:asciiTheme="minorHAnsi" w:hAnsiTheme="minorHAnsi" w:cstheme="minorHAnsi"/>
          <w:color w:val="212121"/>
          <w:shd w:val="clear" w:color="auto" w:fill="FFFFFF"/>
        </w:rPr>
        <w:t>doi</w:t>
      </w:r>
      <w:proofErr w:type="spellEnd"/>
      <w:r w:rsidRPr="00A211FC">
        <w:rPr>
          <w:rFonts w:asciiTheme="minorHAnsi" w:hAnsiTheme="minorHAnsi" w:cstheme="minorHAnsi"/>
          <w:color w:val="212121"/>
          <w:shd w:val="clear" w:color="auto" w:fill="FFFFFF"/>
        </w:rPr>
        <w:t xml:space="preserve">: 10.1097/JCP.0000000000001773. </w:t>
      </w:r>
      <w:proofErr w:type="spellStart"/>
      <w:r w:rsidRPr="00A211FC">
        <w:rPr>
          <w:rFonts w:asciiTheme="minorHAnsi" w:hAnsiTheme="minorHAnsi" w:cstheme="minorHAnsi"/>
          <w:color w:val="212121"/>
          <w:shd w:val="clear" w:color="auto" w:fill="FFFFFF"/>
        </w:rPr>
        <w:t>Epub</w:t>
      </w:r>
      <w:proofErr w:type="spellEnd"/>
      <w:r w:rsidRPr="00A211FC">
        <w:rPr>
          <w:rFonts w:asciiTheme="minorHAnsi" w:hAnsiTheme="minorHAnsi" w:cstheme="minorHAnsi"/>
          <w:color w:val="212121"/>
          <w:shd w:val="clear" w:color="auto" w:fill="FFFFFF"/>
        </w:rPr>
        <w:t xml:space="preserve"> 2023 Nov 25. </w:t>
      </w:r>
      <w:hyperlink r:id="rId8" w:history="1">
        <w:r w:rsidRPr="00A211FC">
          <w:rPr>
            <w:rStyle w:val="Hyperlink"/>
            <w:rFonts w:asciiTheme="minorHAnsi" w:hAnsiTheme="minorHAnsi" w:cstheme="minorHAnsi"/>
            <w:shd w:val="clear" w:color="auto" w:fill="FFFFFF"/>
          </w:rPr>
          <w:t>PMID: 38011021</w:t>
        </w:r>
      </w:hyperlink>
      <w:r w:rsidRPr="00A211FC">
        <w:rPr>
          <w:rFonts w:asciiTheme="minorHAnsi" w:hAnsiTheme="minorHAnsi" w:cstheme="minorHAnsi"/>
          <w:color w:val="212121"/>
          <w:shd w:val="clear" w:color="auto" w:fill="FFFFFF"/>
        </w:rPr>
        <w:t>.</w:t>
      </w:r>
    </w:p>
    <w:p w14:paraId="47C1FEA0" w14:textId="77777777" w:rsidR="00BD4DE6" w:rsidRPr="00A211FC" w:rsidRDefault="00BD4DE6" w:rsidP="00BD4DE6">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Background: </w:t>
      </w:r>
      <w:r w:rsidRPr="00A211FC">
        <w:rPr>
          <w:rFonts w:eastAsia="Times New Roman" w:cstheme="minorHAnsi"/>
          <w:color w:val="212121"/>
          <w:sz w:val="24"/>
          <w:szCs w:val="24"/>
        </w:rPr>
        <w:t>Increasing evidence suggests an association between third-generation antipsychotics (TGAs) and impulse control disorders (ICDs). This is thought to be due to their partial agonism of dopamine receptors. However, neither the relative nor absolute risks of ICDs in those prescribed TGAs are well established. To inform clinical practice, this systematic review and meta-analysis summarizes and quantifies the current evidence for an association.</w:t>
      </w:r>
    </w:p>
    <w:p w14:paraId="78521384" w14:textId="77777777" w:rsidR="00BD4DE6" w:rsidRPr="00A211FC" w:rsidRDefault="00BD4DE6" w:rsidP="00BD4DE6">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Methods: </w:t>
      </w:r>
      <w:r w:rsidRPr="00A211FC">
        <w:rPr>
          <w:rFonts w:eastAsia="Times New Roman" w:cstheme="minorHAnsi"/>
          <w:color w:val="212121"/>
          <w:sz w:val="24"/>
          <w:szCs w:val="24"/>
        </w:rPr>
        <w:t xml:space="preserve">An electronic search of Medline, </w:t>
      </w:r>
      <w:proofErr w:type="spellStart"/>
      <w:r w:rsidRPr="00A211FC">
        <w:rPr>
          <w:rFonts w:eastAsia="Times New Roman" w:cstheme="minorHAnsi"/>
          <w:color w:val="212121"/>
          <w:sz w:val="24"/>
          <w:szCs w:val="24"/>
        </w:rPr>
        <w:t>PsychINFO</w:t>
      </w:r>
      <w:proofErr w:type="spellEnd"/>
      <w:r w:rsidRPr="00A211FC">
        <w:rPr>
          <w:rFonts w:eastAsia="Times New Roman" w:cstheme="minorHAnsi"/>
          <w:color w:val="212121"/>
          <w:sz w:val="24"/>
          <w:szCs w:val="24"/>
        </w:rPr>
        <w:t>, EMBASE, and the Cochrane Clinical Trials Database was undertaken from database inception to November 2022. Three reviewers screened abstracts and reviewed full texts for inclusion. A random-effects meta-analysis was conducted with eligible studies.</w:t>
      </w:r>
    </w:p>
    <w:p w14:paraId="7FC3B585" w14:textId="77777777" w:rsidR="00BD4DE6" w:rsidRPr="00A211FC" w:rsidRDefault="00BD4DE6" w:rsidP="00BD4DE6">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Results: </w:t>
      </w:r>
      <w:r w:rsidRPr="00A211FC">
        <w:rPr>
          <w:rFonts w:eastAsia="Times New Roman" w:cstheme="minorHAnsi"/>
          <w:color w:val="212121"/>
          <w:sz w:val="24"/>
          <w:szCs w:val="24"/>
        </w:rPr>
        <w:t xml:space="preserve">A total of 392 abstracts were retrieved, 214 remained after duplicates were removed. Fifteen full texts were reviewed, of which 8 were included. All 8 studies found that TGAs were associated with increased probability of ICDs. Risk of bias was high or critical in 7 of 8 studies. Three studies were included in the pooled analysis for the primary outcome, 2 with data on each of aripiprazole, </w:t>
      </w:r>
      <w:proofErr w:type="spellStart"/>
      <w:r w:rsidRPr="00A211FC">
        <w:rPr>
          <w:rFonts w:eastAsia="Times New Roman" w:cstheme="minorHAnsi"/>
          <w:color w:val="212121"/>
          <w:sz w:val="24"/>
          <w:szCs w:val="24"/>
        </w:rPr>
        <w:t>cariprazine</w:t>
      </w:r>
      <w:proofErr w:type="spellEnd"/>
      <w:r w:rsidRPr="00A211FC">
        <w:rPr>
          <w:rFonts w:eastAsia="Times New Roman" w:cstheme="minorHAnsi"/>
          <w:color w:val="212121"/>
          <w:sz w:val="24"/>
          <w:szCs w:val="24"/>
        </w:rPr>
        <w:t xml:space="preserve">, and </w:t>
      </w:r>
      <w:proofErr w:type="spellStart"/>
      <w:r w:rsidRPr="00A211FC">
        <w:rPr>
          <w:rFonts w:eastAsia="Times New Roman" w:cstheme="minorHAnsi"/>
          <w:color w:val="212121"/>
          <w:sz w:val="24"/>
          <w:szCs w:val="24"/>
        </w:rPr>
        <w:t>brexpiprazole</w:t>
      </w:r>
      <w:proofErr w:type="spellEnd"/>
      <w:r w:rsidRPr="00A211FC">
        <w:rPr>
          <w:rFonts w:eastAsia="Times New Roman" w:cstheme="minorHAnsi"/>
          <w:color w:val="212121"/>
          <w:sz w:val="24"/>
          <w:szCs w:val="24"/>
        </w:rPr>
        <w:t xml:space="preserve">. Exposure to TGAs versus other antipsychotics was associated with an increase in ICDs (pooled odds ratio, 5.54; 2.24-13.68). </w:t>
      </w:r>
      <w:proofErr w:type="spellStart"/>
      <w:r w:rsidRPr="00A211FC">
        <w:rPr>
          <w:rFonts w:eastAsia="Times New Roman" w:cstheme="minorHAnsi"/>
          <w:color w:val="212121"/>
          <w:sz w:val="24"/>
          <w:szCs w:val="24"/>
        </w:rPr>
        <w:t>Cariprazine</w:t>
      </w:r>
      <w:proofErr w:type="spellEnd"/>
      <w:r w:rsidRPr="00A211FC">
        <w:rPr>
          <w:rFonts w:eastAsia="Times New Roman" w:cstheme="minorHAnsi"/>
          <w:color w:val="212121"/>
          <w:sz w:val="24"/>
          <w:szCs w:val="24"/>
        </w:rPr>
        <w:t xml:space="preserve"> and </w:t>
      </w:r>
      <w:proofErr w:type="spellStart"/>
      <w:r w:rsidRPr="00A211FC">
        <w:rPr>
          <w:rFonts w:eastAsia="Times New Roman" w:cstheme="minorHAnsi"/>
          <w:color w:val="212121"/>
          <w:sz w:val="24"/>
          <w:szCs w:val="24"/>
        </w:rPr>
        <w:t>brexpiprazole</w:t>
      </w:r>
      <w:proofErr w:type="spellEnd"/>
      <w:r w:rsidRPr="00A211FC">
        <w:rPr>
          <w:rFonts w:eastAsia="Times New Roman" w:cstheme="minorHAnsi"/>
          <w:color w:val="212121"/>
          <w:sz w:val="24"/>
          <w:szCs w:val="24"/>
        </w:rPr>
        <w:t xml:space="preserve"> were significantly associated with ICDs when analyzed individually. Aripiprazole trended toward increased risk, but very wide confidence intervals included no effect.</w:t>
      </w:r>
    </w:p>
    <w:p w14:paraId="1217B837" w14:textId="77777777" w:rsidR="00BD4DE6" w:rsidRPr="00A211FC" w:rsidRDefault="00BD4DE6" w:rsidP="00BD4DE6">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Conclusions: </w:t>
      </w:r>
      <w:r w:rsidRPr="00A211FC">
        <w:rPr>
          <w:rFonts w:eastAsia="Times New Roman" w:cstheme="minorHAnsi"/>
          <w:color w:val="212121"/>
          <w:sz w:val="24"/>
          <w:szCs w:val="24"/>
        </w:rPr>
        <w:t>Third-generation antipsychotics were associated with increased risk of ICDs in all studies included and pooled analysis. However, the risk of bias is high, confidence intervals are wide, and the quality of evidence is very low for all TGAs examined.</w:t>
      </w:r>
    </w:p>
    <w:p w14:paraId="64D21CBF" w14:textId="77777777" w:rsidR="001C5A2D" w:rsidRPr="00A211FC" w:rsidRDefault="001C5A2D" w:rsidP="001C5A2D">
      <w:pPr>
        <w:pStyle w:val="Heading1"/>
        <w:shd w:val="clear" w:color="auto" w:fill="FFFFFF"/>
        <w:rPr>
          <w:rFonts w:cstheme="minorHAnsi"/>
          <w:color w:val="212121"/>
          <w:sz w:val="24"/>
          <w:szCs w:val="24"/>
        </w:rPr>
      </w:pPr>
      <w:bookmarkStart w:id="1" w:name="_Toc158045233"/>
      <w:r w:rsidRPr="00A211FC">
        <w:rPr>
          <w:rFonts w:cstheme="minorHAnsi"/>
          <w:color w:val="212121"/>
          <w:sz w:val="24"/>
          <w:szCs w:val="24"/>
        </w:rPr>
        <w:t>Prescription Stimulant Use During Pregnancy and Risk of Neurodevelopmental Disorders in Children</w:t>
      </w:r>
      <w:bookmarkEnd w:id="1"/>
    </w:p>
    <w:p w14:paraId="5CD36255" w14:textId="77777777" w:rsidR="00A211FC" w:rsidRPr="00A211FC" w:rsidRDefault="00A211FC" w:rsidP="00BD4DE6">
      <w:pPr>
        <w:spacing w:after="0" w:line="240" w:lineRule="auto"/>
        <w:rPr>
          <w:rFonts w:cstheme="minorHAnsi"/>
          <w:color w:val="212121"/>
          <w:sz w:val="24"/>
          <w:szCs w:val="24"/>
          <w:shd w:val="clear" w:color="auto" w:fill="FFFFFF"/>
        </w:rPr>
      </w:pPr>
    </w:p>
    <w:p w14:paraId="3302C410" w14:textId="4226929D" w:rsidR="00BD4DE6" w:rsidRPr="00A211FC" w:rsidRDefault="001C5A2D" w:rsidP="00BD4DE6">
      <w:pPr>
        <w:spacing w:after="0" w:line="240" w:lineRule="auto"/>
        <w:rPr>
          <w:rFonts w:cstheme="minorHAnsi"/>
          <w:color w:val="212121"/>
          <w:sz w:val="24"/>
          <w:szCs w:val="24"/>
          <w:shd w:val="clear" w:color="auto" w:fill="FFFFFF"/>
        </w:rPr>
      </w:pPr>
      <w:r w:rsidRPr="00A211FC">
        <w:rPr>
          <w:rFonts w:cstheme="minorHAnsi"/>
          <w:color w:val="212121"/>
          <w:sz w:val="24"/>
          <w:szCs w:val="24"/>
          <w:shd w:val="clear" w:color="auto" w:fill="FFFFFF"/>
        </w:rPr>
        <w:t xml:space="preserve">Suarez EA, Bateman BT, Hernandez-Diaz S, Straub L, McDougle CJ, Wisner KL, Gray KJ, Pennell PB, Lester B, Zhu Y, Mogun H, Huybrechts KF. Prescription Stimulant Use During Pregnancy and Risk of Neurodevelopmental Disorders in Children. JAMA Psychiatry. 2024 Jan </w:t>
      </w:r>
      <w:proofErr w:type="gramStart"/>
      <w:r w:rsidRPr="00A211FC">
        <w:rPr>
          <w:rFonts w:cstheme="minorHAnsi"/>
          <w:color w:val="212121"/>
          <w:sz w:val="24"/>
          <w:szCs w:val="24"/>
          <w:shd w:val="clear" w:color="auto" w:fill="FFFFFF"/>
        </w:rPr>
        <w:t>24:e</w:t>
      </w:r>
      <w:proofErr w:type="gramEnd"/>
      <w:r w:rsidRPr="00A211FC">
        <w:rPr>
          <w:rFonts w:cstheme="minorHAnsi"/>
          <w:color w:val="212121"/>
          <w:sz w:val="24"/>
          <w:szCs w:val="24"/>
          <w:shd w:val="clear" w:color="auto" w:fill="FFFFFF"/>
        </w:rPr>
        <w:t xml:space="preserve">235073.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w:t>
      </w:r>
      <w:r w:rsidRPr="00A211FC">
        <w:rPr>
          <w:rFonts w:cstheme="minorHAnsi"/>
          <w:color w:val="212121"/>
          <w:sz w:val="24"/>
          <w:szCs w:val="24"/>
          <w:shd w:val="clear" w:color="auto" w:fill="FFFFFF"/>
        </w:rPr>
        <w:lastRenderedPageBreak/>
        <w:t xml:space="preserve">10.1001/jamapsychiatry.2023.5073.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9" w:history="1">
        <w:r w:rsidRPr="00A211FC">
          <w:rPr>
            <w:rStyle w:val="Hyperlink"/>
            <w:rFonts w:cstheme="minorHAnsi"/>
            <w:sz w:val="24"/>
            <w:szCs w:val="24"/>
            <w:shd w:val="clear" w:color="auto" w:fill="FFFFFF"/>
          </w:rPr>
          <w:t>PMID: 38265792</w:t>
        </w:r>
      </w:hyperlink>
      <w:r w:rsidRPr="00A211FC">
        <w:rPr>
          <w:rFonts w:cstheme="minorHAnsi"/>
          <w:color w:val="212121"/>
          <w:sz w:val="24"/>
          <w:szCs w:val="24"/>
          <w:shd w:val="clear" w:color="auto" w:fill="FFFFFF"/>
        </w:rPr>
        <w:t>; PMCID: PMC10809143.</w:t>
      </w:r>
    </w:p>
    <w:p w14:paraId="66572ADC" w14:textId="77777777" w:rsidR="001C5A2D" w:rsidRPr="00A211FC" w:rsidRDefault="001C5A2D" w:rsidP="001C5A2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Importance: </w:t>
      </w:r>
      <w:r w:rsidRPr="00A211FC">
        <w:rPr>
          <w:rFonts w:asciiTheme="minorHAnsi" w:hAnsiTheme="minorHAnsi" w:cstheme="minorHAnsi"/>
          <w:color w:val="212121"/>
        </w:rPr>
        <w:t>Use of medications for attention-deficit/hyperactivity disorder (ADHD) during pregnancy is increasing in the US. Whether exposure to these medications in utero impacts the risk of neurodevelopmental disorders in children is uncertain.</w:t>
      </w:r>
    </w:p>
    <w:p w14:paraId="39142140" w14:textId="77777777" w:rsidR="001C5A2D" w:rsidRPr="00A211FC" w:rsidRDefault="001C5A2D" w:rsidP="001C5A2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Objective: </w:t>
      </w:r>
      <w:r w:rsidRPr="00A211FC">
        <w:rPr>
          <w:rFonts w:asciiTheme="minorHAnsi" w:hAnsiTheme="minorHAnsi" w:cstheme="minorHAnsi"/>
          <w:color w:val="212121"/>
        </w:rPr>
        <w:t xml:space="preserve">To evaluate the association of childhood neurodevelopmental disorders </w:t>
      </w:r>
      <w:proofErr w:type="gramStart"/>
      <w:r w:rsidRPr="00A211FC">
        <w:rPr>
          <w:rFonts w:asciiTheme="minorHAnsi" w:hAnsiTheme="minorHAnsi" w:cstheme="minorHAnsi"/>
          <w:color w:val="212121"/>
        </w:rPr>
        <w:t>with in</w:t>
      </w:r>
      <w:proofErr w:type="gramEnd"/>
      <w:r w:rsidRPr="00A211FC">
        <w:rPr>
          <w:rFonts w:asciiTheme="minorHAnsi" w:hAnsiTheme="minorHAnsi" w:cstheme="minorHAnsi"/>
          <w:color w:val="212121"/>
        </w:rPr>
        <w:t xml:space="preserve"> utero exposure to stimulant medications for ADHD.</w:t>
      </w:r>
    </w:p>
    <w:p w14:paraId="544C5A3B" w14:textId="77777777" w:rsidR="001C5A2D" w:rsidRPr="00A211FC" w:rsidRDefault="001C5A2D" w:rsidP="001C5A2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Design, setting, and participants: </w:t>
      </w:r>
      <w:r w:rsidRPr="00A211FC">
        <w:rPr>
          <w:rFonts w:asciiTheme="minorHAnsi" w:hAnsiTheme="minorHAnsi" w:cstheme="minorHAnsi"/>
          <w:color w:val="212121"/>
        </w:rPr>
        <w:t>This cohort study included health care utilization data from publicly insured (Medicaid data from 2000 to 2018) and commercially insured (</w:t>
      </w:r>
      <w:proofErr w:type="spellStart"/>
      <w:r w:rsidRPr="00A211FC">
        <w:rPr>
          <w:rFonts w:asciiTheme="minorHAnsi" w:hAnsiTheme="minorHAnsi" w:cstheme="minorHAnsi"/>
          <w:color w:val="212121"/>
        </w:rPr>
        <w:t>MarketScan</w:t>
      </w:r>
      <w:proofErr w:type="spellEnd"/>
      <w:r w:rsidRPr="00A211FC">
        <w:rPr>
          <w:rFonts w:asciiTheme="minorHAnsi" w:hAnsiTheme="minorHAnsi" w:cstheme="minorHAnsi"/>
          <w:color w:val="212121"/>
        </w:rPr>
        <w:t xml:space="preserve"> Commercial Claims Database data from 2003 to 2020) pregnant individuals aged 12 to 55 years in the US with enrollment from 3 months prior to pregnancy through 1 month after delivery, linked to children. Children were monitored from birth until outcome diagnosis, disenrollment, death, or end of the study (December 2018 for Medicaid and December 2020 for </w:t>
      </w:r>
      <w:proofErr w:type="spellStart"/>
      <w:r w:rsidRPr="00A211FC">
        <w:rPr>
          <w:rFonts w:asciiTheme="minorHAnsi" w:hAnsiTheme="minorHAnsi" w:cstheme="minorHAnsi"/>
          <w:color w:val="212121"/>
        </w:rPr>
        <w:t>MarketScan</w:t>
      </w:r>
      <w:proofErr w:type="spellEnd"/>
      <w:r w:rsidRPr="00A211FC">
        <w:rPr>
          <w:rFonts w:asciiTheme="minorHAnsi" w:hAnsiTheme="minorHAnsi" w:cstheme="minorHAnsi"/>
          <w:color w:val="212121"/>
        </w:rPr>
        <w:t>).</w:t>
      </w:r>
    </w:p>
    <w:p w14:paraId="102E7C4D" w14:textId="77777777" w:rsidR="001C5A2D" w:rsidRPr="00A211FC" w:rsidRDefault="001C5A2D" w:rsidP="001C5A2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Exposures: </w:t>
      </w:r>
      <w:r w:rsidRPr="00A211FC">
        <w:rPr>
          <w:rFonts w:asciiTheme="minorHAnsi" w:hAnsiTheme="minorHAnsi" w:cstheme="minorHAnsi"/>
          <w:color w:val="212121"/>
        </w:rPr>
        <w:t>Dispensing of amphetamine/dextroamphetamine or methylphenidate in the second half of pregnancy.</w:t>
      </w:r>
    </w:p>
    <w:p w14:paraId="62635AE8" w14:textId="77777777" w:rsidR="001C5A2D" w:rsidRPr="00A211FC" w:rsidRDefault="001C5A2D" w:rsidP="001C5A2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Main outcomes and measures: </w:t>
      </w:r>
      <w:r w:rsidRPr="00A211FC">
        <w:rPr>
          <w:rFonts w:asciiTheme="minorHAnsi" w:hAnsiTheme="minorHAnsi" w:cstheme="minorHAnsi"/>
          <w:color w:val="212121"/>
        </w:rPr>
        <w:t>Autism spectrum disorder, ADHD, and a composite of any neurodevelopmental disorder were defined using validated algorithms. Hazard ratios were estimated comparing amphetamine/dextroamphetamine and methylphenidate to no exposure.</w:t>
      </w:r>
    </w:p>
    <w:p w14:paraId="18A35452" w14:textId="77777777" w:rsidR="001C5A2D" w:rsidRPr="00A211FC" w:rsidRDefault="001C5A2D" w:rsidP="001C5A2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 xml:space="preserve">The publicly insured cohort included 2 496 771 stimulant-unexposed, 4693 amphetamine/dextroamphetamine-exposed, and 786 methylphenidate-exposed pregnancies with a mean (SD) age of 25.2 (6.0) years. The commercially insured cohort included 1 773 501 stimulant-unexposed, 2372 amphetamine/dextroamphetamine-exposed, and 337 methylphenidate-exposed pregnancies with a mean (SD) age of 31.6 (4.6) years. In unadjusted analyses, amphetamine/dextroamphetamine and methylphenidate exposure were associated with a 2- to 3-fold increased risk of the neurodevelopmental outcomes considered. After adjustment for measured confounders, amphetamine/dextroamphetamine exposure was not associated with any outcome (autism spectrum disorder: hazard ratio [HR], 0.80; 95% CI, 0.56-1.14]; ADHD: HR, 1.07; 95% CI, 0.89-1.28; any neurodevelopmental disorder: HR, 0.91; 95% CI, 0.81-1.28). Methylphenidate exposure was associated with an increased risk of ADHD (HR, 1.43; 95% CI, 1.12-1.82]) but </w:t>
      </w:r>
      <w:proofErr w:type="spellStart"/>
      <w:r w:rsidRPr="00A211FC">
        <w:rPr>
          <w:rFonts w:asciiTheme="minorHAnsi" w:hAnsiTheme="minorHAnsi" w:cstheme="minorHAnsi"/>
          <w:color w:val="212121"/>
        </w:rPr>
        <w:t>not</w:t>
      </w:r>
      <w:proofErr w:type="spellEnd"/>
      <w:r w:rsidRPr="00A211FC">
        <w:rPr>
          <w:rFonts w:asciiTheme="minorHAnsi" w:hAnsiTheme="minorHAnsi" w:cstheme="minorHAnsi"/>
          <w:color w:val="212121"/>
        </w:rPr>
        <w:t xml:space="preserve"> other outcomes after adjustment (autism spectrum disorder: HR, 1.06; 95% CI, 0.62-1.81; any neurodevelopmental disorder: HR, 1.15; 95% CI, 0.97-1.36). The association between methylphenidate and ADHD did not persist in sensitivity analyses with stricter control for confounding by maternal ADHD.</w:t>
      </w:r>
    </w:p>
    <w:p w14:paraId="4CE67FB1" w14:textId="77777777" w:rsidR="001C5A2D" w:rsidRPr="00A211FC" w:rsidRDefault="001C5A2D" w:rsidP="001C5A2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Conclusions and relevance: </w:t>
      </w:r>
      <w:r w:rsidRPr="00A211FC">
        <w:rPr>
          <w:rFonts w:asciiTheme="minorHAnsi" w:hAnsiTheme="minorHAnsi" w:cstheme="minorHAnsi"/>
          <w:color w:val="212121"/>
        </w:rPr>
        <w:t xml:space="preserve">The findings in this study suggest that amphetamine/dextroamphetamine and methylphenidate exposure in utero are not likely to meaningfully increase the risk of childhood neurodevelopmental </w:t>
      </w:r>
      <w:proofErr w:type="spellStart"/>
      <w:r w:rsidRPr="00A211FC">
        <w:rPr>
          <w:rFonts w:asciiTheme="minorHAnsi" w:hAnsiTheme="minorHAnsi" w:cstheme="minorHAnsi"/>
          <w:color w:val="212121"/>
        </w:rPr>
        <w:t>disorde</w:t>
      </w:r>
      <w:proofErr w:type="spellEnd"/>
    </w:p>
    <w:p w14:paraId="11A437EB" w14:textId="77777777" w:rsidR="001C5A2D" w:rsidRPr="00A211FC" w:rsidRDefault="001C5A2D" w:rsidP="00BD4DE6">
      <w:pPr>
        <w:spacing w:after="0" w:line="240" w:lineRule="auto"/>
        <w:rPr>
          <w:rFonts w:eastAsia="Times New Roman" w:cstheme="minorHAnsi"/>
          <w:sz w:val="24"/>
          <w:szCs w:val="24"/>
        </w:rPr>
      </w:pPr>
    </w:p>
    <w:p w14:paraId="7A47717D" w14:textId="3362A9CB" w:rsidR="00BD4DE6" w:rsidRPr="00A211FC" w:rsidRDefault="00BD4DE6" w:rsidP="00BD4DE6">
      <w:pPr>
        <w:pStyle w:val="Heading1"/>
        <w:shd w:val="clear" w:color="auto" w:fill="FFFFFF"/>
        <w:rPr>
          <w:rFonts w:cstheme="minorHAnsi"/>
          <w:color w:val="212121"/>
          <w:sz w:val="24"/>
          <w:szCs w:val="24"/>
        </w:rPr>
      </w:pPr>
      <w:bookmarkStart w:id="2" w:name="_Toc158045234"/>
      <w:r w:rsidRPr="00A211FC">
        <w:rPr>
          <w:rFonts w:cstheme="minorHAnsi"/>
          <w:color w:val="212121"/>
          <w:sz w:val="24"/>
          <w:szCs w:val="24"/>
        </w:rPr>
        <w:t>Physical and mental health in adolescence: novel insights from a transdiagnostic examination of FitBit data in the ABCD study</w:t>
      </w:r>
      <w:bookmarkEnd w:id="2"/>
      <w:r w:rsidR="003F42CF" w:rsidRPr="00A211FC">
        <w:rPr>
          <w:rFonts w:cstheme="minorHAnsi"/>
          <w:color w:val="212121"/>
          <w:sz w:val="24"/>
          <w:szCs w:val="24"/>
        </w:rPr>
        <w:t xml:space="preserve"> </w:t>
      </w:r>
    </w:p>
    <w:p w14:paraId="1CEA6199" w14:textId="2C40EF12" w:rsidR="001C5A2D" w:rsidRPr="00A211FC" w:rsidRDefault="001C5A2D" w:rsidP="008D1928">
      <w:pPr>
        <w:pStyle w:val="paragraph"/>
        <w:spacing w:before="0" w:beforeAutospacing="0" w:after="0" w:afterAutospacing="0"/>
        <w:textAlignment w:val="baseline"/>
        <w:rPr>
          <w:rFonts w:asciiTheme="minorHAnsi" w:hAnsiTheme="minorHAnsi" w:cstheme="minorHAnsi"/>
          <w:color w:val="212121"/>
          <w:shd w:val="clear" w:color="auto" w:fill="FFFFFF"/>
        </w:rPr>
      </w:pPr>
    </w:p>
    <w:p w14:paraId="1C662689" w14:textId="0539FEA3" w:rsidR="00BD4DE6" w:rsidRPr="00A211FC" w:rsidRDefault="00BD4DE6" w:rsidP="008D1928">
      <w:pPr>
        <w:pStyle w:val="paragraph"/>
        <w:spacing w:before="0" w:beforeAutospacing="0" w:after="0" w:afterAutospacing="0"/>
        <w:textAlignment w:val="baseline"/>
        <w:rPr>
          <w:rFonts w:asciiTheme="minorHAnsi" w:hAnsiTheme="minorHAnsi" w:cstheme="minorHAnsi"/>
          <w:color w:val="212121"/>
          <w:shd w:val="clear" w:color="auto" w:fill="FFFFFF"/>
        </w:rPr>
      </w:pPr>
      <w:r w:rsidRPr="00A211FC">
        <w:rPr>
          <w:rFonts w:asciiTheme="minorHAnsi" w:hAnsiTheme="minorHAnsi" w:cstheme="minorHAnsi"/>
          <w:color w:val="212121"/>
          <w:shd w:val="clear" w:color="auto" w:fill="FFFFFF"/>
        </w:rPr>
        <w:t xml:space="preserve">Damme KSF, Vargas TG, Walther S, Shankman SA, Mittal VA. Physical and mental health in adolescence: novel insights from a transdiagnostic examination of </w:t>
      </w:r>
      <w:proofErr w:type="spellStart"/>
      <w:r w:rsidRPr="00A211FC">
        <w:rPr>
          <w:rFonts w:asciiTheme="minorHAnsi" w:hAnsiTheme="minorHAnsi" w:cstheme="minorHAnsi"/>
          <w:color w:val="212121"/>
          <w:shd w:val="clear" w:color="auto" w:fill="FFFFFF"/>
        </w:rPr>
        <w:t>FitBit</w:t>
      </w:r>
      <w:proofErr w:type="spellEnd"/>
      <w:r w:rsidRPr="00A211FC">
        <w:rPr>
          <w:rFonts w:asciiTheme="minorHAnsi" w:hAnsiTheme="minorHAnsi" w:cstheme="minorHAnsi"/>
          <w:color w:val="212121"/>
          <w:shd w:val="clear" w:color="auto" w:fill="FFFFFF"/>
        </w:rPr>
        <w:t xml:space="preserve"> data in the ABCD study. </w:t>
      </w:r>
      <w:proofErr w:type="spellStart"/>
      <w:r w:rsidRPr="00A211FC">
        <w:rPr>
          <w:rFonts w:asciiTheme="minorHAnsi" w:hAnsiTheme="minorHAnsi" w:cstheme="minorHAnsi"/>
          <w:color w:val="212121"/>
          <w:shd w:val="clear" w:color="auto" w:fill="FFFFFF"/>
        </w:rPr>
        <w:t>Transl</w:t>
      </w:r>
      <w:proofErr w:type="spellEnd"/>
      <w:r w:rsidRPr="00A211FC">
        <w:rPr>
          <w:rFonts w:asciiTheme="minorHAnsi" w:hAnsiTheme="minorHAnsi" w:cstheme="minorHAnsi"/>
          <w:color w:val="212121"/>
          <w:shd w:val="clear" w:color="auto" w:fill="FFFFFF"/>
        </w:rPr>
        <w:t xml:space="preserve"> Psychiatry. 2024 Feb 3;14(1):75. </w:t>
      </w:r>
      <w:proofErr w:type="spellStart"/>
      <w:r w:rsidRPr="00A211FC">
        <w:rPr>
          <w:rFonts w:asciiTheme="minorHAnsi" w:hAnsiTheme="minorHAnsi" w:cstheme="minorHAnsi"/>
          <w:color w:val="212121"/>
          <w:shd w:val="clear" w:color="auto" w:fill="FFFFFF"/>
        </w:rPr>
        <w:t>doi</w:t>
      </w:r>
      <w:proofErr w:type="spellEnd"/>
      <w:r w:rsidRPr="00A211FC">
        <w:rPr>
          <w:rFonts w:asciiTheme="minorHAnsi" w:hAnsiTheme="minorHAnsi" w:cstheme="minorHAnsi"/>
          <w:color w:val="212121"/>
          <w:shd w:val="clear" w:color="auto" w:fill="FFFFFF"/>
        </w:rPr>
        <w:t xml:space="preserve">: 10.1038/s41398-024-02794-2. </w:t>
      </w:r>
      <w:hyperlink r:id="rId10" w:history="1">
        <w:r w:rsidRPr="00A211FC">
          <w:rPr>
            <w:rStyle w:val="Hyperlink"/>
            <w:rFonts w:asciiTheme="minorHAnsi" w:hAnsiTheme="minorHAnsi" w:cstheme="minorHAnsi"/>
            <w:shd w:val="clear" w:color="auto" w:fill="FFFFFF"/>
          </w:rPr>
          <w:t>PMID: 38307840.</w:t>
        </w:r>
      </w:hyperlink>
    </w:p>
    <w:p w14:paraId="386FA67D" w14:textId="77777777" w:rsidR="00BD4DE6" w:rsidRPr="00A211FC" w:rsidRDefault="00BD4DE6" w:rsidP="008D1928">
      <w:pPr>
        <w:pStyle w:val="paragraph"/>
        <w:spacing w:before="0" w:beforeAutospacing="0" w:after="0" w:afterAutospacing="0"/>
        <w:textAlignment w:val="baseline"/>
        <w:rPr>
          <w:rFonts w:asciiTheme="minorHAnsi" w:hAnsiTheme="minorHAnsi" w:cstheme="minorHAnsi"/>
          <w:color w:val="212121"/>
          <w:shd w:val="clear" w:color="auto" w:fill="FFFFFF"/>
        </w:rPr>
      </w:pPr>
    </w:p>
    <w:p w14:paraId="6DA24EC7" w14:textId="28792AE6" w:rsidR="00BD4DE6" w:rsidRPr="00A211FC" w:rsidRDefault="00BD4DE6" w:rsidP="008D1928">
      <w:pPr>
        <w:pStyle w:val="paragraph"/>
        <w:spacing w:before="0" w:beforeAutospacing="0" w:after="0" w:afterAutospacing="0"/>
        <w:textAlignment w:val="baseline"/>
        <w:rPr>
          <w:rFonts w:asciiTheme="minorHAnsi" w:hAnsiTheme="minorHAnsi" w:cstheme="minorHAnsi"/>
          <w:color w:val="212121"/>
          <w:shd w:val="clear" w:color="auto" w:fill="FFFFFF"/>
        </w:rPr>
      </w:pPr>
      <w:r w:rsidRPr="00A211FC">
        <w:rPr>
          <w:rFonts w:asciiTheme="minorHAnsi" w:hAnsiTheme="minorHAnsi" w:cstheme="minorHAnsi"/>
          <w:color w:val="212121"/>
          <w:shd w:val="clear" w:color="auto" w:fill="FFFFFF"/>
        </w:rPr>
        <w:t xml:space="preserve">Adolescence is among the most vulnerable period for the emergence of serious mental illnesses. Addressing this vulnerability has generated interest in identifying markers of risk for symptoms and opportunities for early intervention. Physical fitness has been linked to psychopathology and may be a useful risk marker and target for early intervention. New wearable technology has made assessing fitness behavior more practical while avoiding recall and self-report bias. Still, questions remain regarding the clinical utility of physical fitness metrics for mental health, both </w:t>
      </w:r>
      <w:proofErr w:type="spellStart"/>
      <w:r w:rsidRPr="00A211FC">
        <w:rPr>
          <w:rFonts w:asciiTheme="minorHAnsi" w:hAnsiTheme="minorHAnsi" w:cstheme="minorHAnsi"/>
          <w:color w:val="212121"/>
          <w:shd w:val="clear" w:color="auto" w:fill="FFFFFF"/>
        </w:rPr>
        <w:t>transdiagnostically</w:t>
      </w:r>
      <w:proofErr w:type="spellEnd"/>
      <w:r w:rsidRPr="00A211FC">
        <w:rPr>
          <w:rFonts w:asciiTheme="minorHAnsi" w:hAnsiTheme="minorHAnsi" w:cstheme="minorHAnsi"/>
          <w:color w:val="212121"/>
          <w:shd w:val="clear" w:color="auto" w:fill="FFFFFF"/>
        </w:rPr>
        <w:t xml:space="preserve"> and along specific symptom dimensions. The current study includes 5007 adolescents (ages 10-13) who participated in the Adolescent Brain Cognitive Development (ABCD) study and additional sub-study that collected fitness data from wearable technology and clinical symptom measures. Physical fitness metrics included resting heart rate (RHR- an index of cardiovascular health), time spent sedentary (associated with increased inflammation and cardiovascular disease), and time spent in moderate physical activity (associated with increased neurogenesis, neuroplasticity, and healthy neurodevelopment). Self-report clinical symptoms included measures of psychosis-like experiences (PLE), internalizing symptoms, and externalizing symptoms. Increased RHR- lower cardiovascular fitness- related only to greater internalizing symptoms (t = 3.63). More sedentary behavior related to elevated PLE severity (t = 5.49). More moderate activity related to lower PLE (t = -2.69) and internalizing (t = -6.29) symptom severity. Wearable technology fitness metrics linked physical health to specific mental health dimensions, which emphasizes the utility of detailed digital health data as a marker for risk and the need for precision in targeting physical health behaviors to benefit symptoms of psychopathology.</w:t>
      </w:r>
    </w:p>
    <w:p w14:paraId="6ACC9F4B" w14:textId="77777777" w:rsidR="00174B4F" w:rsidRPr="00A211FC" w:rsidRDefault="00174B4F" w:rsidP="008D1928">
      <w:pPr>
        <w:pStyle w:val="paragraph"/>
        <w:spacing w:before="0" w:beforeAutospacing="0" w:after="0" w:afterAutospacing="0"/>
        <w:textAlignment w:val="baseline"/>
        <w:rPr>
          <w:rFonts w:asciiTheme="minorHAnsi" w:hAnsiTheme="minorHAnsi" w:cstheme="minorHAnsi"/>
        </w:rPr>
      </w:pPr>
    </w:p>
    <w:p w14:paraId="02F570CB" w14:textId="77777777" w:rsidR="001C6C72" w:rsidRPr="00A211FC" w:rsidRDefault="001C6C72" w:rsidP="001C6C72">
      <w:pPr>
        <w:pStyle w:val="Heading1"/>
        <w:shd w:val="clear" w:color="auto" w:fill="FFFFFF"/>
        <w:rPr>
          <w:rFonts w:cstheme="minorHAnsi"/>
          <w:color w:val="212121"/>
          <w:sz w:val="24"/>
          <w:szCs w:val="24"/>
        </w:rPr>
      </w:pPr>
      <w:bookmarkStart w:id="3" w:name="_Toc158045235"/>
      <w:r w:rsidRPr="00A211FC">
        <w:rPr>
          <w:rFonts w:cstheme="minorHAnsi"/>
          <w:color w:val="212121"/>
          <w:sz w:val="24"/>
          <w:szCs w:val="24"/>
        </w:rPr>
        <w:t>Existing and Future Strategies to Manipulate the Gut Microbiota With Diet as a Potential Adjuvant Treatment for Psychiatric Disorders</w:t>
      </w:r>
      <w:bookmarkEnd w:id="3"/>
    </w:p>
    <w:p w14:paraId="4F7FAF36" w14:textId="77777777" w:rsidR="00A211FC" w:rsidRPr="00A211FC" w:rsidRDefault="00A211FC" w:rsidP="001C6C72">
      <w:pPr>
        <w:rPr>
          <w:rFonts w:cstheme="minorHAnsi"/>
          <w:color w:val="212121"/>
          <w:sz w:val="24"/>
          <w:szCs w:val="24"/>
          <w:shd w:val="clear" w:color="auto" w:fill="FFFFFF"/>
        </w:rPr>
      </w:pPr>
    </w:p>
    <w:p w14:paraId="2A3B4A09" w14:textId="347033CB" w:rsidR="001C6C72" w:rsidRPr="00A211FC" w:rsidRDefault="001C6C72"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Ross FC, Mayer DE, Gupta A, Gill CIR, Del Rio D, Cryan JF, Lavelle A, Ross RP, Stanton C, Mayer EA. Existing and Future Strategies to Manipulate the Gut Microbiota </w:t>
      </w:r>
      <w:proofErr w:type="gramStart"/>
      <w:r w:rsidRPr="00A211FC">
        <w:rPr>
          <w:rFonts w:cstheme="minorHAnsi"/>
          <w:color w:val="212121"/>
          <w:sz w:val="24"/>
          <w:szCs w:val="24"/>
          <w:shd w:val="clear" w:color="auto" w:fill="FFFFFF"/>
        </w:rPr>
        <w:t>With</w:t>
      </w:r>
      <w:proofErr w:type="gramEnd"/>
      <w:r w:rsidRPr="00A211FC">
        <w:rPr>
          <w:rFonts w:cstheme="minorHAnsi"/>
          <w:color w:val="212121"/>
          <w:sz w:val="24"/>
          <w:szCs w:val="24"/>
          <w:shd w:val="clear" w:color="auto" w:fill="FFFFFF"/>
        </w:rPr>
        <w:t xml:space="preserve"> Diet as a Potential Adjuvant Treatment for Psychiatric Disorders. Biol Psychiatry. 2024 Feb 15;95(4):348-360.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10.1016/j.biopsych.2023.10.018.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2023 Oct 31. </w:t>
      </w:r>
      <w:hyperlink r:id="rId11" w:history="1">
        <w:r w:rsidRPr="00A211FC">
          <w:rPr>
            <w:rStyle w:val="Hyperlink"/>
            <w:rFonts w:cstheme="minorHAnsi"/>
            <w:sz w:val="24"/>
            <w:szCs w:val="24"/>
            <w:shd w:val="clear" w:color="auto" w:fill="FFFFFF"/>
          </w:rPr>
          <w:t>PMID: 37918459.</w:t>
        </w:r>
      </w:hyperlink>
    </w:p>
    <w:p w14:paraId="6176829A" w14:textId="7C2B65A7" w:rsidR="001C6C72" w:rsidRPr="00A211FC" w:rsidRDefault="001C6C72"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Nutrition and diet quality play key roles in preventing and slowing cognitive decline and have been linked to multiple brain disorders. This review compiles available evidence from preclinical studies and clinical trials on the impact of nutrition and interventions regarding major </w:t>
      </w:r>
      <w:r w:rsidRPr="00A211FC">
        <w:rPr>
          <w:rFonts w:cstheme="minorHAnsi"/>
          <w:color w:val="212121"/>
          <w:sz w:val="24"/>
          <w:szCs w:val="24"/>
          <w:shd w:val="clear" w:color="auto" w:fill="FFFFFF"/>
        </w:rPr>
        <w:lastRenderedPageBreak/>
        <w:t>psychiatric conditions and some neurological disorders. We emphasize the potential role of diet-related microbiome alterations in these effects and highlight commonalities between various brain disorders related to the microbiome. Despite numerous studies shedding light on these findings, there are still gaps in our understanding due to the limited availability of definitive human trial data firmly establishing a causal link between a specific diet and microbially mediated brain functions and symptoms. The positive impact of certain diets on the microbiome and cognitive function is frequently ascribed with the anti-inflammatory effects of certain microbial metabolites or a reduction of proinflammatory microbial products. We also critically review recent research on pro- and prebiotics and nondietary interventions, particularly fecal microbiota transplantation. The recent focus on diet in relation to brain disorders could lead to improved treatment outcomes with combined dietary, pharmacological, and behavioral interventions.</w:t>
      </w:r>
    </w:p>
    <w:p w14:paraId="514EC782" w14:textId="77777777" w:rsidR="00A211FC" w:rsidRPr="00A211FC" w:rsidRDefault="00A211FC" w:rsidP="001C6C72">
      <w:pPr>
        <w:rPr>
          <w:rFonts w:cstheme="minorHAnsi"/>
          <w:color w:val="212121"/>
          <w:sz w:val="24"/>
          <w:szCs w:val="24"/>
          <w:shd w:val="clear" w:color="auto" w:fill="FFFFFF"/>
        </w:rPr>
      </w:pPr>
    </w:p>
    <w:p w14:paraId="1E0C2B26" w14:textId="77777777" w:rsidR="001C6C72" w:rsidRPr="00A211FC" w:rsidRDefault="001C6C72" w:rsidP="001C6C72">
      <w:pPr>
        <w:pStyle w:val="Heading1"/>
        <w:shd w:val="clear" w:color="auto" w:fill="FFFFFF"/>
        <w:rPr>
          <w:rFonts w:cstheme="minorHAnsi"/>
          <w:color w:val="212121"/>
          <w:sz w:val="24"/>
          <w:szCs w:val="24"/>
        </w:rPr>
      </w:pPr>
      <w:bookmarkStart w:id="4" w:name="_Toc158045236"/>
      <w:r w:rsidRPr="00A211FC">
        <w:rPr>
          <w:rFonts w:cstheme="minorHAnsi"/>
          <w:color w:val="212121"/>
          <w:sz w:val="24"/>
          <w:szCs w:val="24"/>
        </w:rPr>
        <w:t>Features of immunometabolic depression as predictors of antidepressant treatment outcomes: pooled analysis of four clinical trials</w:t>
      </w:r>
      <w:bookmarkEnd w:id="4"/>
    </w:p>
    <w:p w14:paraId="5696CC5A" w14:textId="32FB7542" w:rsidR="001C6C72" w:rsidRPr="00A211FC" w:rsidRDefault="001C6C72" w:rsidP="001C6C72">
      <w:pPr>
        <w:rPr>
          <w:rFonts w:cstheme="minorHAnsi"/>
          <w:color w:val="212121"/>
          <w:sz w:val="24"/>
          <w:szCs w:val="24"/>
          <w:shd w:val="clear" w:color="auto" w:fill="FFFFFF"/>
        </w:rPr>
      </w:pPr>
      <w:proofErr w:type="spellStart"/>
      <w:r w:rsidRPr="00A211FC">
        <w:rPr>
          <w:rFonts w:cstheme="minorHAnsi"/>
          <w:color w:val="212121"/>
          <w:sz w:val="24"/>
          <w:szCs w:val="24"/>
          <w:shd w:val="clear" w:color="auto" w:fill="FFFFFF"/>
        </w:rPr>
        <w:t>Vreijling</w:t>
      </w:r>
      <w:proofErr w:type="spellEnd"/>
      <w:r w:rsidRPr="00A211FC">
        <w:rPr>
          <w:rFonts w:cstheme="minorHAnsi"/>
          <w:color w:val="212121"/>
          <w:sz w:val="24"/>
          <w:szCs w:val="24"/>
          <w:shd w:val="clear" w:color="auto" w:fill="FFFFFF"/>
        </w:rPr>
        <w:t xml:space="preserve"> SR, Chin Fatt CR, Williams LM, Schatzberg AF, Usherwood T, Nemeroff CB, Rush AJ, Uher R, Aitchison KJ, Köhler-Forsberg O, </w:t>
      </w:r>
      <w:proofErr w:type="spellStart"/>
      <w:r w:rsidRPr="00A211FC">
        <w:rPr>
          <w:rFonts w:cstheme="minorHAnsi"/>
          <w:color w:val="212121"/>
          <w:sz w:val="24"/>
          <w:szCs w:val="24"/>
          <w:shd w:val="clear" w:color="auto" w:fill="FFFFFF"/>
        </w:rPr>
        <w:t>Rietschel</w:t>
      </w:r>
      <w:proofErr w:type="spellEnd"/>
      <w:r w:rsidRPr="00A211FC">
        <w:rPr>
          <w:rFonts w:cstheme="minorHAnsi"/>
          <w:color w:val="212121"/>
          <w:sz w:val="24"/>
          <w:szCs w:val="24"/>
          <w:shd w:val="clear" w:color="auto" w:fill="FFFFFF"/>
        </w:rPr>
        <w:t xml:space="preserve"> M, Trivedi MH, Jha MK, </w:t>
      </w:r>
      <w:proofErr w:type="spellStart"/>
      <w:r w:rsidRPr="00A211FC">
        <w:rPr>
          <w:rFonts w:cstheme="minorHAnsi"/>
          <w:color w:val="212121"/>
          <w:sz w:val="24"/>
          <w:szCs w:val="24"/>
          <w:shd w:val="clear" w:color="auto" w:fill="FFFFFF"/>
        </w:rPr>
        <w:t>Penninx</w:t>
      </w:r>
      <w:proofErr w:type="spellEnd"/>
      <w:r w:rsidRPr="00A211FC">
        <w:rPr>
          <w:rFonts w:cstheme="minorHAnsi"/>
          <w:color w:val="212121"/>
          <w:sz w:val="24"/>
          <w:szCs w:val="24"/>
          <w:shd w:val="clear" w:color="auto" w:fill="FFFFFF"/>
        </w:rPr>
        <w:t xml:space="preserve"> BWJH, Beekman ATF, Jansen R, Lamers F. Features of </w:t>
      </w:r>
      <w:proofErr w:type="spellStart"/>
      <w:r w:rsidRPr="00A211FC">
        <w:rPr>
          <w:rFonts w:cstheme="minorHAnsi"/>
          <w:color w:val="212121"/>
          <w:sz w:val="24"/>
          <w:szCs w:val="24"/>
          <w:shd w:val="clear" w:color="auto" w:fill="FFFFFF"/>
        </w:rPr>
        <w:t>immunometabolic</w:t>
      </w:r>
      <w:proofErr w:type="spellEnd"/>
      <w:r w:rsidRPr="00A211FC">
        <w:rPr>
          <w:rFonts w:cstheme="minorHAnsi"/>
          <w:color w:val="212121"/>
          <w:sz w:val="24"/>
          <w:szCs w:val="24"/>
          <w:shd w:val="clear" w:color="auto" w:fill="FFFFFF"/>
        </w:rPr>
        <w:t xml:space="preserve"> depression as predictors of antidepressant treatment outcomes: pooled analysis of four clinical trials. Br J Psychiatry. 2023 Dec 22:1-9.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10.1192/bjp.2023.148.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12" w:history="1">
        <w:r w:rsidRPr="00A211FC">
          <w:rPr>
            <w:rStyle w:val="Hyperlink"/>
            <w:rFonts w:cstheme="minorHAnsi"/>
            <w:sz w:val="24"/>
            <w:szCs w:val="24"/>
            <w:shd w:val="clear" w:color="auto" w:fill="FFFFFF"/>
          </w:rPr>
          <w:t>PMID: 38130122</w:t>
        </w:r>
      </w:hyperlink>
      <w:r w:rsidRPr="00A211FC">
        <w:rPr>
          <w:rFonts w:cstheme="minorHAnsi"/>
          <w:color w:val="212121"/>
          <w:sz w:val="24"/>
          <w:szCs w:val="24"/>
          <w:shd w:val="clear" w:color="auto" w:fill="FFFFFF"/>
        </w:rPr>
        <w:t>.</w:t>
      </w:r>
    </w:p>
    <w:p w14:paraId="14730FED"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Background: </w:t>
      </w:r>
      <w:r w:rsidRPr="00A211FC">
        <w:rPr>
          <w:rFonts w:asciiTheme="minorHAnsi" w:hAnsiTheme="minorHAnsi" w:cstheme="minorHAnsi"/>
          <w:color w:val="212121"/>
        </w:rPr>
        <w:t>Profiling patients on a proposed '</w:t>
      </w:r>
      <w:proofErr w:type="spellStart"/>
      <w:r w:rsidRPr="00A211FC">
        <w:rPr>
          <w:rFonts w:asciiTheme="minorHAnsi" w:hAnsiTheme="minorHAnsi" w:cstheme="minorHAnsi"/>
          <w:color w:val="212121"/>
        </w:rPr>
        <w:t>immunometabolic</w:t>
      </w:r>
      <w:proofErr w:type="spellEnd"/>
      <w:r w:rsidRPr="00A211FC">
        <w:rPr>
          <w:rFonts w:asciiTheme="minorHAnsi" w:hAnsiTheme="minorHAnsi" w:cstheme="minorHAnsi"/>
          <w:color w:val="212121"/>
        </w:rPr>
        <w:t xml:space="preserve"> depression' (IMD) dimension, described as a cluster of atypical depressive symptoms related to energy regulation and </w:t>
      </w:r>
      <w:proofErr w:type="spellStart"/>
      <w:r w:rsidRPr="00A211FC">
        <w:rPr>
          <w:rFonts w:asciiTheme="minorHAnsi" w:hAnsiTheme="minorHAnsi" w:cstheme="minorHAnsi"/>
          <w:color w:val="212121"/>
        </w:rPr>
        <w:t>immunometabolic</w:t>
      </w:r>
      <w:proofErr w:type="spellEnd"/>
      <w:r w:rsidRPr="00A211FC">
        <w:rPr>
          <w:rFonts w:asciiTheme="minorHAnsi" w:hAnsiTheme="minorHAnsi" w:cstheme="minorHAnsi"/>
          <w:color w:val="212121"/>
        </w:rPr>
        <w:t xml:space="preserve"> dysregulations, may </w:t>
      </w:r>
      <w:proofErr w:type="spellStart"/>
      <w:r w:rsidRPr="00A211FC">
        <w:rPr>
          <w:rFonts w:asciiTheme="minorHAnsi" w:hAnsiTheme="minorHAnsi" w:cstheme="minorHAnsi"/>
          <w:color w:val="212121"/>
        </w:rPr>
        <w:t>optimise</w:t>
      </w:r>
      <w:proofErr w:type="spellEnd"/>
      <w:r w:rsidRPr="00A211FC">
        <w:rPr>
          <w:rFonts w:asciiTheme="minorHAnsi" w:hAnsiTheme="minorHAnsi" w:cstheme="minorHAnsi"/>
          <w:color w:val="212121"/>
        </w:rPr>
        <w:t xml:space="preserve"> </w:t>
      </w:r>
      <w:proofErr w:type="spellStart"/>
      <w:r w:rsidRPr="00A211FC">
        <w:rPr>
          <w:rFonts w:asciiTheme="minorHAnsi" w:hAnsiTheme="minorHAnsi" w:cstheme="minorHAnsi"/>
          <w:color w:val="212121"/>
        </w:rPr>
        <w:t>personalised</w:t>
      </w:r>
      <w:proofErr w:type="spellEnd"/>
      <w:r w:rsidRPr="00A211FC">
        <w:rPr>
          <w:rFonts w:asciiTheme="minorHAnsi" w:hAnsiTheme="minorHAnsi" w:cstheme="minorHAnsi"/>
          <w:color w:val="212121"/>
        </w:rPr>
        <w:t xml:space="preserve"> treatment.</w:t>
      </w:r>
    </w:p>
    <w:p w14:paraId="1D36B6DD"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Aims: </w:t>
      </w:r>
      <w:r w:rsidRPr="00A211FC">
        <w:rPr>
          <w:rFonts w:asciiTheme="minorHAnsi" w:hAnsiTheme="minorHAnsi" w:cstheme="minorHAnsi"/>
          <w:color w:val="212121"/>
        </w:rPr>
        <w:t>To test the hypothesis that baseline IMD features predict poorer treatment outcomes with antidepressants.</w:t>
      </w:r>
    </w:p>
    <w:p w14:paraId="571205DD"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Method: </w:t>
      </w:r>
      <w:r w:rsidRPr="00A211FC">
        <w:rPr>
          <w:rFonts w:asciiTheme="minorHAnsi" w:hAnsiTheme="minorHAnsi" w:cstheme="minorHAnsi"/>
          <w:color w:val="212121"/>
        </w:rPr>
        <w:t xml:space="preserve">Data on 2551 individuals with depression across the </w:t>
      </w:r>
      <w:proofErr w:type="spellStart"/>
      <w:r w:rsidRPr="00A211FC">
        <w:rPr>
          <w:rFonts w:asciiTheme="minorHAnsi" w:hAnsiTheme="minorHAnsi" w:cstheme="minorHAnsi"/>
          <w:color w:val="212121"/>
        </w:rPr>
        <w:t>iSPOT</w:t>
      </w:r>
      <w:proofErr w:type="spellEnd"/>
      <w:r w:rsidRPr="00A211FC">
        <w:rPr>
          <w:rFonts w:asciiTheme="minorHAnsi" w:hAnsiTheme="minorHAnsi" w:cstheme="minorHAnsi"/>
          <w:color w:val="212121"/>
        </w:rPr>
        <w:t>-D (</w:t>
      </w:r>
      <w:r w:rsidRPr="00A211FC">
        <w:rPr>
          <w:rFonts w:asciiTheme="minorHAnsi" w:hAnsiTheme="minorHAnsi" w:cstheme="minorHAnsi"/>
          <w:i/>
          <w:iCs/>
          <w:color w:val="212121"/>
        </w:rPr>
        <w:t>n</w:t>
      </w:r>
      <w:r w:rsidRPr="00A211FC">
        <w:rPr>
          <w:rFonts w:asciiTheme="minorHAnsi" w:hAnsiTheme="minorHAnsi" w:cstheme="minorHAnsi"/>
          <w:color w:val="212121"/>
        </w:rPr>
        <w:t> = 967), CO-MED (</w:t>
      </w:r>
      <w:r w:rsidRPr="00A211FC">
        <w:rPr>
          <w:rFonts w:asciiTheme="minorHAnsi" w:hAnsiTheme="minorHAnsi" w:cstheme="minorHAnsi"/>
          <w:i/>
          <w:iCs/>
          <w:color w:val="212121"/>
        </w:rPr>
        <w:t>n</w:t>
      </w:r>
      <w:r w:rsidRPr="00A211FC">
        <w:rPr>
          <w:rFonts w:asciiTheme="minorHAnsi" w:hAnsiTheme="minorHAnsi" w:cstheme="minorHAnsi"/>
          <w:color w:val="212121"/>
        </w:rPr>
        <w:t> = 665), GENDEP (</w:t>
      </w:r>
      <w:r w:rsidRPr="00A211FC">
        <w:rPr>
          <w:rFonts w:asciiTheme="minorHAnsi" w:hAnsiTheme="minorHAnsi" w:cstheme="minorHAnsi"/>
          <w:i/>
          <w:iCs/>
          <w:color w:val="212121"/>
        </w:rPr>
        <w:t>n</w:t>
      </w:r>
      <w:r w:rsidRPr="00A211FC">
        <w:rPr>
          <w:rFonts w:asciiTheme="minorHAnsi" w:hAnsiTheme="minorHAnsi" w:cstheme="minorHAnsi"/>
          <w:color w:val="212121"/>
        </w:rPr>
        <w:t> = 773) and EMBARC (</w:t>
      </w:r>
      <w:r w:rsidRPr="00A211FC">
        <w:rPr>
          <w:rFonts w:asciiTheme="minorHAnsi" w:hAnsiTheme="minorHAnsi" w:cstheme="minorHAnsi"/>
          <w:i/>
          <w:iCs/>
          <w:color w:val="212121"/>
        </w:rPr>
        <w:t>n</w:t>
      </w:r>
      <w:r w:rsidRPr="00A211FC">
        <w:rPr>
          <w:rFonts w:asciiTheme="minorHAnsi" w:hAnsiTheme="minorHAnsi" w:cstheme="minorHAnsi"/>
          <w:color w:val="212121"/>
        </w:rPr>
        <w:t xml:space="preserve"> = 146) clinical trials were used. Predictors included baseline severity of atypical energy-related symptoms (AES), body mass index (BMI) and C-reactive protein levels (CRP, three trials only) separately and aggregated into an IMD index. Mixed models on the primary outcome (change in depressive symptom severity) and logistic regressions on secondary outcomes (response and remission) were conducted for the individual trial </w:t>
      </w:r>
      <w:proofErr w:type="gramStart"/>
      <w:r w:rsidRPr="00A211FC">
        <w:rPr>
          <w:rFonts w:asciiTheme="minorHAnsi" w:hAnsiTheme="minorHAnsi" w:cstheme="minorHAnsi"/>
          <w:color w:val="212121"/>
        </w:rPr>
        <w:t>data-sets</w:t>
      </w:r>
      <w:proofErr w:type="gramEnd"/>
      <w:r w:rsidRPr="00A211FC">
        <w:rPr>
          <w:rFonts w:asciiTheme="minorHAnsi" w:hAnsiTheme="minorHAnsi" w:cstheme="minorHAnsi"/>
          <w:color w:val="212121"/>
        </w:rPr>
        <w:t xml:space="preserve"> and pooled using random-effects meta-analyses.</w:t>
      </w:r>
    </w:p>
    <w:p w14:paraId="6977D75C"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Although AES severity and BMI did not predict changes in depressive symptom severity, higher baseline CRP predicted smaller reductions in depressive symptoms (</w:t>
      </w:r>
      <w:r w:rsidRPr="00A211FC">
        <w:rPr>
          <w:rFonts w:asciiTheme="minorHAnsi" w:hAnsiTheme="minorHAnsi" w:cstheme="minorHAnsi"/>
          <w:i/>
          <w:iCs/>
          <w:color w:val="212121"/>
        </w:rPr>
        <w:t>n</w:t>
      </w:r>
      <w:r w:rsidRPr="00A211FC">
        <w:rPr>
          <w:rFonts w:asciiTheme="minorHAnsi" w:hAnsiTheme="minorHAnsi" w:cstheme="minorHAnsi"/>
          <w:color w:val="212121"/>
        </w:rPr>
        <w:t> = 376, β</w:t>
      </w:r>
      <w:r w:rsidRPr="00A211FC">
        <w:rPr>
          <w:rFonts w:asciiTheme="minorHAnsi" w:hAnsiTheme="minorHAnsi" w:cstheme="minorHAnsi"/>
          <w:color w:val="212121"/>
          <w:vertAlign w:val="subscript"/>
        </w:rPr>
        <w:t>pooled</w:t>
      </w:r>
      <w:r w:rsidRPr="00A211FC">
        <w:rPr>
          <w:rFonts w:asciiTheme="minorHAnsi" w:hAnsiTheme="minorHAnsi" w:cstheme="minorHAnsi"/>
          <w:color w:val="212121"/>
        </w:rPr>
        <w:t> = 0.06, </w:t>
      </w:r>
      <w:r w:rsidRPr="00A211FC">
        <w:rPr>
          <w:rFonts w:asciiTheme="minorHAnsi" w:hAnsiTheme="minorHAnsi" w:cstheme="minorHAnsi"/>
          <w:i/>
          <w:iCs/>
          <w:color w:val="212121"/>
        </w:rPr>
        <w:t>P =</w:t>
      </w:r>
      <w:r w:rsidRPr="00A211FC">
        <w:rPr>
          <w:rFonts w:asciiTheme="minorHAnsi" w:hAnsiTheme="minorHAnsi" w:cstheme="minorHAnsi"/>
          <w:color w:val="212121"/>
        </w:rPr>
        <w:t> 0.049, 95% CI 0.0001-0.12, </w:t>
      </w:r>
      <w:r w:rsidRPr="00A211FC">
        <w:rPr>
          <w:rFonts w:asciiTheme="minorHAnsi" w:hAnsiTheme="minorHAnsi" w:cstheme="minorHAnsi"/>
          <w:i/>
          <w:iCs/>
          <w:color w:val="212121"/>
        </w:rPr>
        <w:t>I</w:t>
      </w:r>
      <w:r w:rsidRPr="00A211FC">
        <w:rPr>
          <w:rFonts w:asciiTheme="minorHAnsi" w:hAnsiTheme="minorHAnsi" w:cstheme="minorHAnsi"/>
          <w:color w:val="212121"/>
          <w:vertAlign w:val="superscript"/>
        </w:rPr>
        <w:t>2</w:t>
      </w:r>
      <w:r w:rsidRPr="00A211FC">
        <w:rPr>
          <w:rFonts w:asciiTheme="minorHAnsi" w:hAnsiTheme="minorHAnsi" w:cstheme="minorHAnsi"/>
          <w:color w:val="212121"/>
        </w:rPr>
        <w:t> = 3.61%); this was also found for an IMD index combining these features (</w:t>
      </w:r>
      <w:r w:rsidRPr="00A211FC">
        <w:rPr>
          <w:rFonts w:asciiTheme="minorHAnsi" w:hAnsiTheme="minorHAnsi" w:cstheme="minorHAnsi"/>
          <w:i/>
          <w:iCs/>
          <w:color w:val="212121"/>
        </w:rPr>
        <w:t>n</w:t>
      </w:r>
      <w:r w:rsidRPr="00A211FC">
        <w:rPr>
          <w:rFonts w:asciiTheme="minorHAnsi" w:hAnsiTheme="minorHAnsi" w:cstheme="minorHAnsi"/>
          <w:color w:val="212121"/>
        </w:rPr>
        <w:t> = 372, β</w:t>
      </w:r>
      <w:r w:rsidRPr="00A211FC">
        <w:rPr>
          <w:rFonts w:asciiTheme="minorHAnsi" w:hAnsiTheme="minorHAnsi" w:cstheme="minorHAnsi"/>
          <w:color w:val="212121"/>
          <w:vertAlign w:val="subscript"/>
        </w:rPr>
        <w:t>pooled</w:t>
      </w:r>
      <w:r w:rsidRPr="00A211FC">
        <w:rPr>
          <w:rFonts w:asciiTheme="minorHAnsi" w:hAnsiTheme="minorHAnsi" w:cstheme="minorHAnsi"/>
          <w:color w:val="212121"/>
        </w:rPr>
        <w:t xml:space="preserve"> = 0.12, </w:t>
      </w:r>
      <w:proofErr w:type="spellStart"/>
      <w:r w:rsidRPr="00A211FC">
        <w:rPr>
          <w:rFonts w:asciiTheme="minorHAnsi" w:hAnsiTheme="minorHAnsi" w:cstheme="minorHAnsi"/>
          <w:color w:val="212121"/>
        </w:rPr>
        <w:t>s.e.</w:t>
      </w:r>
      <w:proofErr w:type="spellEnd"/>
      <w:r w:rsidRPr="00A211FC">
        <w:rPr>
          <w:rFonts w:asciiTheme="minorHAnsi" w:hAnsiTheme="minorHAnsi" w:cstheme="minorHAnsi"/>
          <w:color w:val="212121"/>
        </w:rPr>
        <w:t xml:space="preserve"> = 0.12, </w:t>
      </w:r>
      <w:r w:rsidRPr="00A211FC">
        <w:rPr>
          <w:rFonts w:asciiTheme="minorHAnsi" w:hAnsiTheme="minorHAnsi" w:cstheme="minorHAnsi"/>
          <w:i/>
          <w:iCs/>
          <w:color w:val="212121"/>
        </w:rPr>
        <w:t>P =</w:t>
      </w:r>
      <w:r w:rsidRPr="00A211FC">
        <w:rPr>
          <w:rFonts w:asciiTheme="minorHAnsi" w:hAnsiTheme="minorHAnsi" w:cstheme="minorHAnsi"/>
          <w:color w:val="212121"/>
        </w:rPr>
        <w:t> 0.031, 95% CI 0.01-</w:t>
      </w:r>
      <w:r w:rsidRPr="00A211FC">
        <w:rPr>
          <w:rFonts w:asciiTheme="minorHAnsi" w:hAnsiTheme="minorHAnsi" w:cstheme="minorHAnsi"/>
          <w:color w:val="212121"/>
        </w:rPr>
        <w:lastRenderedPageBreak/>
        <w:t>0.22, </w:t>
      </w:r>
      <w:r w:rsidRPr="00A211FC">
        <w:rPr>
          <w:rFonts w:asciiTheme="minorHAnsi" w:hAnsiTheme="minorHAnsi" w:cstheme="minorHAnsi"/>
          <w:i/>
          <w:iCs/>
          <w:color w:val="212121"/>
        </w:rPr>
        <w:t>I</w:t>
      </w:r>
      <w:r w:rsidRPr="00A211FC">
        <w:rPr>
          <w:rFonts w:asciiTheme="minorHAnsi" w:hAnsiTheme="minorHAnsi" w:cstheme="minorHAnsi"/>
          <w:color w:val="212121"/>
          <w:vertAlign w:val="superscript"/>
        </w:rPr>
        <w:t>2</w:t>
      </w:r>
      <w:r w:rsidRPr="00A211FC">
        <w:rPr>
          <w:rFonts w:asciiTheme="minorHAnsi" w:hAnsiTheme="minorHAnsi" w:cstheme="minorHAnsi"/>
          <w:i/>
          <w:iCs/>
          <w:color w:val="212121"/>
        </w:rPr>
        <w:t>=</w:t>
      </w:r>
      <w:r w:rsidRPr="00A211FC">
        <w:rPr>
          <w:rFonts w:asciiTheme="minorHAnsi" w:hAnsiTheme="minorHAnsi" w:cstheme="minorHAnsi"/>
          <w:color w:val="212121"/>
        </w:rPr>
        <w:t> 23.91%), with a higher - but still small - effect size compared with CRP. Confining analyses to selective serotonin reuptake inhibitor users indicated larger effects of CRP (β</w:t>
      </w:r>
      <w:r w:rsidRPr="00A211FC">
        <w:rPr>
          <w:rFonts w:asciiTheme="minorHAnsi" w:hAnsiTheme="minorHAnsi" w:cstheme="minorHAnsi"/>
          <w:color w:val="212121"/>
          <w:vertAlign w:val="subscript"/>
        </w:rPr>
        <w:t>pooled</w:t>
      </w:r>
      <w:r w:rsidRPr="00A211FC">
        <w:rPr>
          <w:rFonts w:asciiTheme="minorHAnsi" w:hAnsiTheme="minorHAnsi" w:cstheme="minorHAnsi"/>
          <w:color w:val="212121"/>
        </w:rPr>
        <w:t> = 0.16) and the IMD index (β</w:t>
      </w:r>
      <w:r w:rsidRPr="00A211FC">
        <w:rPr>
          <w:rFonts w:asciiTheme="minorHAnsi" w:hAnsiTheme="minorHAnsi" w:cstheme="minorHAnsi"/>
          <w:color w:val="212121"/>
          <w:vertAlign w:val="subscript"/>
        </w:rPr>
        <w:t>pooled</w:t>
      </w:r>
      <w:r w:rsidRPr="00A211FC">
        <w:rPr>
          <w:rFonts w:asciiTheme="minorHAnsi" w:hAnsiTheme="minorHAnsi" w:cstheme="minorHAnsi"/>
          <w:color w:val="212121"/>
        </w:rPr>
        <w:t> = 0.20). Baseline IMD features, both separately and combined, did not predict response or remission.</w:t>
      </w:r>
    </w:p>
    <w:p w14:paraId="358DC9BA"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Conclusions: </w:t>
      </w:r>
      <w:r w:rsidRPr="00A211FC">
        <w:rPr>
          <w:rFonts w:asciiTheme="minorHAnsi" w:hAnsiTheme="minorHAnsi" w:cstheme="minorHAnsi"/>
          <w:color w:val="212121"/>
        </w:rPr>
        <w:t xml:space="preserve">Depressive symptoms of people with more IMD features improved less when treated with antidepressants. However, clinical relevance is limited owing to small effect sizes in inconsistent associations. Whether these patients would benefit more from treatments targeting </w:t>
      </w:r>
      <w:proofErr w:type="spellStart"/>
      <w:r w:rsidRPr="00A211FC">
        <w:rPr>
          <w:rFonts w:asciiTheme="minorHAnsi" w:hAnsiTheme="minorHAnsi" w:cstheme="minorHAnsi"/>
          <w:color w:val="212121"/>
        </w:rPr>
        <w:t>immunometabolic</w:t>
      </w:r>
      <w:proofErr w:type="spellEnd"/>
      <w:r w:rsidRPr="00A211FC">
        <w:rPr>
          <w:rFonts w:asciiTheme="minorHAnsi" w:hAnsiTheme="minorHAnsi" w:cstheme="minorHAnsi"/>
          <w:color w:val="212121"/>
        </w:rPr>
        <w:t xml:space="preserve"> pathways remains to be investigated.</w:t>
      </w:r>
    </w:p>
    <w:p w14:paraId="29D81F42" w14:textId="77777777" w:rsidR="001C6C72" w:rsidRPr="00A211FC" w:rsidRDefault="001C6C72" w:rsidP="001C6C72">
      <w:pPr>
        <w:pStyle w:val="Heading1"/>
        <w:shd w:val="clear" w:color="auto" w:fill="FFFFFF"/>
        <w:rPr>
          <w:rFonts w:cstheme="minorHAnsi"/>
          <w:color w:val="212121"/>
          <w:sz w:val="24"/>
          <w:szCs w:val="24"/>
        </w:rPr>
      </w:pPr>
      <w:bookmarkStart w:id="5" w:name="_Toc158045237"/>
      <w:r w:rsidRPr="00A211FC">
        <w:rPr>
          <w:rFonts w:cstheme="minorHAnsi"/>
          <w:color w:val="212121"/>
          <w:sz w:val="24"/>
          <w:szCs w:val="24"/>
        </w:rPr>
        <w:t>One-Day Peer-Delivered Cognitive Behavioral Therapy-Based Workshops for Postpartum Depression: A Randomized Controlled Trial</w:t>
      </w:r>
      <w:bookmarkEnd w:id="5"/>
    </w:p>
    <w:p w14:paraId="3A73C662" w14:textId="77777777" w:rsidR="00A211FC" w:rsidRPr="00A211FC" w:rsidRDefault="00A211FC" w:rsidP="001C6C72">
      <w:pPr>
        <w:rPr>
          <w:rFonts w:cstheme="minorHAnsi"/>
          <w:color w:val="212121"/>
          <w:sz w:val="24"/>
          <w:szCs w:val="24"/>
          <w:shd w:val="clear" w:color="auto" w:fill="FFFFFF"/>
        </w:rPr>
      </w:pPr>
    </w:p>
    <w:p w14:paraId="4B7D5BE4" w14:textId="56489B1F" w:rsidR="001C6C72" w:rsidRPr="00A211FC" w:rsidRDefault="001C6C72"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Babiy Z, Layton H, Savoy CD, Xie F, Brown JSL, Bieling PJ, </w:t>
      </w:r>
      <w:proofErr w:type="spellStart"/>
      <w:r w:rsidRPr="00A211FC">
        <w:rPr>
          <w:rFonts w:cstheme="minorHAnsi"/>
          <w:color w:val="212121"/>
          <w:sz w:val="24"/>
          <w:szCs w:val="24"/>
          <w:shd w:val="clear" w:color="auto" w:fill="FFFFFF"/>
        </w:rPr>
        <w:t>Streiner</w:t>
      </w:r>
      <w:proofErr w:type="spellEnd"/>
      <w:r w:rsidRPr="00A211FC">
        <w:rPr>
          <w:rFonts w:cstheme="minorHAnsi"/>
          <w:color w:val="212121"/>
          <w:sz w:val="24"/>
          <w:szCs w:val="24"/>
          <w:shd w:val="clear" w:color="auto" w:fill="FFFFFF"/>
        </w:rPr>
        <w:t xml:space="preserve"> DL, Ferro MA, Van Lieshout RJ. One-Day Peer-Delivered Cognitive Behavioral Therapy-Based Workshops for Postpartum Depression: A Randomized Controlled Trial. </w:t>
      </w:r>
      <w:proofErr w:type="spellStart"/>
      <w:r w:rsidRPr="00A211FC">
        <w:rPr>
          <w:rFonts w:cstheme="minorHAnsi"/>
          <w:color w:val="212121"/>
          <w:sz w:val="24"/>
          <w:szCs w:val="24"/>
          <w:shd w:val="clear" w:color="auto" w:fill="FFFFFF"/>
        </w:rPr>
        <w:t>Psychother</w:t>
      </w:r>
      <w:proofErr w:type="spellEnd"/>
      <w:r w:rsidRPr="00A211FC">
        <w:rPr>
          <w:rFonts w:cstheme="minorHAnsi"/>
          <w:color w:val="212121"/>
          <w:sz w:val="24"/>
          <w:szCs w:val="24"/>
          <w:shd w:val="clear" w:color="auto" w:fill="FFFFFF"/>
        </w:rPr>
        <w:t xml:space="preserve"> </w:t>
      </w:r>
      <w:proofErr w:type="spellStart"/>
      <w:r w:rsidRPr="00A211FC">
        <w:rPr>
          <w:rFonts w:cstheme="minorHAnsi"/>
          <w:color w:val="212121"/>
          <w:sz w:val="24"/>
          <w:szCs w:val="24"/>
          <w:shd w:val="clear" w:color="auto" w:fill="FFFFFF"/>
        </w:rPr>
        <w:t>Psychosom</w:t>
      </w:r>
      <w:proofErr w:type="spellEnd"/>
      <w:r w:rsidRPr="00A211FC">
        <w:rPr>
          <w:rFonts w:cstheme="minorHAnsi"/>
          <w:color w:val="212121"/>
          <w:sz w:val="24"/>
          <w:szCs w:val="24"/>
          <w:shd w:val="clear" w:color="auto" w:fill="FFFFFF"/>
        </w:rPr>
        <w:t xml:space="preserve">. 2024 Jan 25:1-12.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10.1159/000536040.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13" w:history="1">
        <w:r w:rsidRPr="00A211FC">
          <w:rPr>
            <w:rStyle w:val="Hyperlink"/>
            <w:rFonts w:cstheme="minorHAnsi"/>
            <w:sz w:val="24"/>
            <w:szCs w:val="24"/>
            <w:shd w:val="clear" w:color="auto" w:fill="FFFFFF"/>
          </w:rPr>
          <w:t>PMID: 38272007</w:t>
        </w:r>
      </w:hyperlink>
      <w:r w:rsidRPr="00A211FC">
        <w:rPr>
          <w:rFonts w:cstheme="minorHAnsi"/>
          <w:color w:val="212121"/>
          <w:sz w:val="24"/>
          <w:szCs w:val="24"/>
          <w:shd w:val="clear" w:color="auto" w:fill="FFFFFF"/>
        </w:rPr>
        <w:t>.</w:t>
      </w:r>
    </w:p>
    <w:p w14:paraId="1E112D41"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Introduction: </w:t>
      </w:r>
      <w:r w:rsidRPr="00A211FC">
        <w:rPr>
          <w:rFonts w:asciiTheme="minorHAnsi" w:hAnsiTheme="minorHAnsi" w:cstheme="minorHAnsi"/>
          <w:color w:val="212121"/>
        </w:rPr>
        <w:t>Myriad treatment barriers prevent birthing parents with postpartum depression (PPD) from receiving timely treatment. We aimed to determine whether a peer-delivered online 1-day cognitive behavioral therapy (CBT)-based workshop added to treatment as usual (TAU) improves PPD and its comorbidities and is more cost-effective than TAU alone.</w:t>
      </w:r>
    </w:p>
    <w:p w14:paraId="1401DF72"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Methods: </w:t>
      </w:r>
      <w:r w:rsidRPr="00A211FC">
        <w:rPr>
          <w:rFonts w:asciiTheme="minorHAnsi" w:hAnsiTheme="minorHAnsi" w:cstheme="minorHAnsi"/>
          <w:color w:val="212121"/>
        </w:rPr>
        <w:t xml:space="preserve">This </w:t>
      </w:r>
      <w:proofErr w:type="gramStart"/>
      <w:r w:rsidRPr="00A211FC">
        <w:rPr>
          <w:rFonts w:asciiTheme="minorHAnsi" w:hAnsiTheme="minorHAnsi" w:cstheme="minorHAnsi"/>
          <w:color w:val="212121"/>
        </w:rPr>
        <w:t>parallel-group</w:t>
      </w:r>
      <w:proofErr w:type="gramEnd"/>
      <w:r w:rsidRPr="00A211FC">
        <w:rPr>
          <w:rFonts w:asciiTheme="minorHAnsi" w:hAnsiTheme="minorHAnsi" w:cstheme="minorHAnsi"/>
          <w:color w:val="212121"/>
        </w:rPr>
        <w:t>, randomized controlled trial took place in Ontario, Canada (June 7, 2021, to February 18, 2022). Participants were ≥18 years old, had an infant ≤12 months old, and an Edinburgh Postnatal Depression Scale (EPDS) score ≥10. Participants were allocated to receive the workshop plus TAU (n = 202) or TAU and waitlisted to complete the workshop 12 weeks later (n = 203). The primary outcome was change in PPD (EPDS score) from enrollment to 12 weeks later. The secondary outcome was cost-effectiveness and tertiary outcomes included anxiety, social support, partner relationship quality, the mother-infant relationship, parenting stress, and infant temperament.</w:t>
      </w:r>
    </w:p>
    <w:p w14:paraId="26E5E12C"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Participants had a mean age of 32.3 years (SD = 4.30) and 65% were White. The workshop led to a significant reduction in EPDS scores (15.95-11.37; d = 0.92, p &amp;</w:t>
      </w:r>
      <w:proofErr w:type="spellStart"/>
      <w:r w:rsidRPr="00A211FC">
        <w:rPr>
          <w:rFonts w:asciiTheme="minorHAnsi" w:hAnsiTheme="minorHAnsi" w:cstheme="minorHAnsi"/>
          <w:color w:val="212121"/>
        </w:rPr>
        <w:t>lt</w:t>
      </w:r>
      <w:proofErr w:type="spellEnd"/>
      <w:r w:rsidRPr="00A211FC">
        <w:rPr>
          <w:rFonts w:asciiTheme="minorHAnsi" w:hAnsiTheme="minorHAnsi" w:cstheme="minorHAnsi"/>
          <w:color w:val="212121"/>
        </w:rPr>
        <w:t>; 0. 01) and was associated with higher odds of exhibiting a clinically significant decrease in EPDS scores (OR = 2.03; 95% CI: 1.26-3.29). The workshop plus TAU was more cost-effective than TAU alone. It also led to improvements in postpartum anxiety, infant-focused anxiety, parenting stress, and infant temperament.</w:t>
      </w:r>
    </w:p>
    <w:p w14:paraId="5BFC16C5"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Conclusions: </w:t>
      </w:r>
      <w:r w:rsidRPr="00A211FC">
        <w:rPr>
          <w:rFonts w:asciiTheme="minorHAnsi" w:hAnsiTheme="minorHAnsi" w:cstheme="minorHAnsi"/>
          <w:color w:val="212121"/>
        </w:rPr>
        <w:t>Peer-delivered 1-day CBT-based workshops can improve PPD and are a potentially scalable low-intensity treatment that could help increase treatment access.</w:t>
      </w:r>
    </w:p>
    <w:p w14:paraId="2FD93691" w14:textId="77777777" w:rsidR="001C6C72" w:rsidRPr="00A211FC" w:rsidRDefault="001C6C72" w:rsidP="001C6C72">
      <w:pPr>
        <w:rPr>
          <w:rFonts w:cstheme="minorHAnsi"/>
          <w:color w:val="212121"/>
          <w:sz w:val="24"/>
          <w:szCs w:val="24"/>
          <w:shd w:val="clear" w:color="auto" w:fill="FFFFFF"/>
        </w:rPr>
      </w:pPr>
    </w:p>
    <w:p w14:paraId="6D95724C" w14:textId="77777777" w:rsidR="001C6C72" w:rsidRPr="00A211FC" w:rsidRDefault="001C6C72" w:rsidP="001C6C72">
      <w:pPr>
        <w:pStyle w:val="Heading1"/>
        <w:shd w:val="clear" w:color="auto" w:fill="FFFFFF"/>
        <w:rPr>
          <w:rFonts w:cstheme="minorHAnsi"/>
          <w:color w:val="212121"/>
          <w:sz w:val="24"/>
          <w:szCs w:val="24"/>
        </w:rPr>
      </w:pPr>
      <w:bookmarkStart w:id="6" w:name="_Toc158045238"/>
      <w:r w:rsidRPr="00A211FC">
        <w:rPr>
          <w:rFonts w:cstheme="minorHAnsi"/>
          <w:color w:val="212121"/>
          <w:sz w:val="24"/>
          <w:szCs w:val="24"/>
        </w:rPr>
        <w:t>Magnesium supplementation beneficially affects depression in adults with depressive disorder: a systematic review and meta-analysis of randomized clinical trials</w:t>
      </w:r>
      <w:bookmarkEnd w:id="6"/>
    </w:p>
    <w:p w14:paraId="22FBF68D" w14:textId="77777777" w:rsidR="00A211FC" w:rsidRPr="00A211FC" w:rsidRDefault="00A211FC" w:rsidP="001C6C72">
      <w:pPr>
        <w:rPr>
          <w:rFonts w:cstheme="minorHAnsi"/>
          <w:color w:val="212121"/>
          <w:sz w:val="24"/>
          <w:szCs w:val="24"/>
          <w:shd w:val="clear" w:color="auto" w:fill="FFFFFF"/>
        </w:rPr>
      </w:pPr>
    </w:p>
    <w:p w14:paraId="4F7995FD" w14:textId="068E7A71" w:rsidR="001C6C72" w:rsidRPr="00A211FC" w:rsidRDefault="001C6C72" w:rsidP="001C6C72">
      <w:pPr>
        <w:rPr>
          <w:rFonts w:cstheme="minorHAnsi"/>
          <w:sz w:val="24"/>
          <w:szCs w:val="24"/>
        </w:rPr>
      </w:pPr>
      <w:proofErr w:type="spellStart"/>
      <w:r w:rsidRPr="00A211FC">
        <w:rPr>
          <w:rFonts w:cstheme="minorHAnsi"/>
          <w:color w:val="212121"/>
          <w:sz w:val="24"/>
          <w:szCs w:val="24"/>
          <w:shd w:val="clear" w:color="auto" w:fill="FFFFFF"/>
        </w:rPr>
        <w:t>Moabedi</w:t>
      </w:r>
      <w:proofErr w:type="spellEnd"/>
      <w:r w:rsidRPr="00A211FC">
        <w:rPr>
          <w:rFonts w:cstheme="minorHAnsi"/>
          <w:color w:val="212121"/>
          <w:sz w:val="24"/>
          <w:szCs w:val="24"/>
          <w:shd w:val="clear" w:color="auto" w:fill="FFFFFF"/>
        </w:rPr>
        <w:t xml:space="preserve"> M, </w:t>
      </w:r>
      <w:proofErr w:type="spellStart"/>
      <w:r w:rsidRPr="00A211FC">
        <w:rPr>
          <w:rFonts w:cstheme="minorHAnsi"/>
          <w:color w:val="212121"/>
          <w:sz w:val="24"/>
          <w:szCs w:val="24"/>
          <w:shd w:val="clear" w:color="auto" w:fill="FFFFFF"/>
        </w:rPr>
        <w:t>Aliakbari</w:t>
      </w:r>
      <w:proofErr w:type="spellEnd"/>
      <w:r w:rsidRPr="00A211FC">
        <w:rPr>
          <w:rFonts w:cstheme="minorHAnsi"/>
          <w:color w:val="212121"/>
          <w:sz w:val="24"/>
          <w:szCs w:val="24"/>
          <w:shd w:val="clear" w:color="auto" w:fill="FFFFFF"/>
        </w:rPr>
        <w:t xml:space="preserve"> M, </w:t>
      </w:r>
      <w:proofErr w:type="spellStart"/>
      <w:r w:rsidRPr="00A211FC">
        <w:rPr>
          <w:rFonts w:cstheme="minorHAnsi"/>
          <w:color w:val="212121"/>
          <w:sz w:val="24"/>
          <w:szCs w:val="24"/>
          <w:shd w:val="clear" w:color="auto" w:fill="FFFFFF"/>
        </w:rPr>
        <w:t>Erfanian</w:t>
      </w:r>
      <w:proofErr w:type="spellEnd"/>
      <w:r w:rsidRPr="00A211FC">
        <w:rPr>
          <w:rFonts w:cstheme="minorHAnsi"/>
          <w:color w:val="212121"/>
          <w:sz w:val="24"/>
          <w:szCs w:val="24"/>
          <w:shd w:val="clear" w:color="auto" w:fill="FFFFFF"/>
        </w:rPr>
        <w:t xml:space="preserve"> S, </w:t>
      </w:r>
      <w:proofErr w:type="spellStart"/>
      <w:r w:rsidRPr="00A211FC">
        <w:rPr>
          <w:rFonts w:cstheme="minorHAnsi"/>
          <w:color w:val="212121"/>
          <w:sz w:val="24"/>
          <w:szCs w:val="24"/>
          <w:shd w:val="clear" w:color="auto" w:fill="FFFFFF"/>
        </w:rPr>
        <w:t>Milajerdi</w:t>
      </w:r>
      <w:proofErr w:type="spellEnd"/>
      <w:r w:rsidRPr="00A211FC">
        <w:rPr>
          <w:rFonts w:cstheme="minorHAnsi"/>
          <w:color w:val="212121"/>
          <w:sz w:val="24"/>
          <w:szCs w:val="24"/>
          <w:shd w:val="clear" w:color="auto" w:fill="FFFFFF"/>
        </w:rPr>
        <w:t xml:space="preserve"> A. Magnesium supplementation beneficially affects depression in adults with depressive disorder: a systematic review and meta-analysis of randomized clinical trials. Front Psychiatry. 2023 Dec </w:t>
      </w:r>
      <w:proofErr w:type="gramStart"/>
      <w:r w:rsidRPr="00A211FC">
        <w:rPr>
          <w:rFonts w:cstheme="minorHAnsi"/>
          <w:color w:val="212121"/>
          <w:sz w:val="24"/>
          <w:szCs w:val="24"/>
          <w:shd w:val="clear" w:color="auto" w:fill="FFFFFF"/>
        </w:rPr>
        <w:t>22;14:1333261</w:t>
      </w:r>
      <w:proofErr w:type="gramEnd"/>
      <w:r w:rsidRPr="00A211FC">
        <w:rPr>
          <w:rFonts w:cstheme="minorHAnsi"/>
          <w:color w:val="212121"/>
          <w:sz w:val="24"/>
          <w:szCs w:val="24"/>
          <w:shd w:val="clear" w:color="auto" w:fill="FFFFFF"/>
        </w:rPr>
        <w:t xml:space="preserve">.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10.3389/fpsyt.2023.1333261. </w:t>
      </w:r>
      <w:hyperlink r:id="rId14" w:history="1">
        <w:r w:rsidRPr="00A211FC">
          <w:rPr>
            <w:rStyle w:val="Hyperlink"/>
            <w:rFonts w:cstheme="minorHAnsi"/>
            <w:sz w:val="24"/>
            <w:szCs w:val="24"/>
            <w:shd w:val="clear" w:color="auto" w:fill="FFFFFF"/>
          </w:rPr>
          <w:t>PMID: 38213402</w:t>
        </w:r>
      </w:hyperlink>
      <w:r w:rsidRPr="00A211FC">
        <w:rPr>
          <w:rFonts w:cstheme="minorHAnsi"/>
          <w:color w:val="212121"/>
          <w:sz w:val="24"/>
          <w:szCs w:val="24"/>
          <w:shd w:val="clear" w:color="auto" w:fill="FFFFFF"/>
        </w:rPr>
        <w:t>; PMCID: PMC10783196.</w:t>
      </w:r>
    </w:p>
    <w:p w14:paraId="617FC826"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Background: </w:t>
      </w:r>
      <w:r w:rsidRPr="00A211FC">
        <w:rPr>
          <w:rFonts w:asciiTheme="minorHAnsi" w:hAnsiTheme="minorHAnsi" w:cstheme="minorHAnsi"/>
          <w:color w:val="212121"/>
        </w:rPr>
        <w:t>The findings from randomized clinical trials (RCTs) examining the effect of magnesium supplementation on depression are inconsistent. We decided to conduct a meta-analysis that summarizes all the evidence on the impact of magnesium supplementation on depression scores in adults with depressive disorder.</w:t>
      </w:r>
    </w:p>
    <w:p w14:paraId="7E2E3956"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Methods: </w:t>
      </w:r>
      <w:r w:rsidRPr="00A211FC">
        <w:rPr>
          <w:rFonts w:asciiTheme="minorHAnsi" w:hAnsiTheme="minorHAnsi" w:cstheme="minorHAnsi"/>
          <w:color w:val="212121"/>
        </w:rPr>
        <w:t>We conducted a systematic search in the online databases using all related keywords up to July 2023. We included all randomized clinical trials examining the effect of magnesium, in contrast to placebo, on depression scores.</w:t>
      </w:r>
    </w:p>
    <w:p w14:paraId="4E5A88C9"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Finally, seven clinical trials were included in this systematic review, building up a total sample size of 325 individuals with ages ranging from 20 to 60 years on average. These RCTs resulted in eight effect sizes. Our findings from the meta-analysis showed a significant decline in depression scores due to intervention with magnesium supplements [standardized mean difference (SMD): -0.919, 95% CI: -1.443 to -0.396, </w:t>
      </w:r>
      <w:r w:rsidRPr="00A211FC">
        <w:rPr>
          <w:rFonts w:asciiTheme="minorHAnsi" w:hAnsiTheme="minorHAnsi" w:cstheme="minorHAnsi"/>
          <w:i/>
          <w:iCs/>
          <w:color w:val="212121"/>
        </w:rPr>
        <w:t>p</w:t>
      </w:r>
      <w:r w:rsidRPr="00A211FC">
        <w:rPr>
          <w:rFonts w:asciiTheme="minorHAnsi" w:hAnsiTheme="minorHAnsi" w:cstheme="minorHAnsi"/>
          <w:color w:val="212121"/>
        </w:rPr>
        <w:t> = 0.001].</w:t>
      </w:r>
    </w:p>
    <w:p w14:paraId="023E5A45"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 </w:t>
      </w:r>
      <w:r w:rsidRPr="00A211FC">
        <w:rPr>
          <w:rFonts w:asciiTheme="minorHAnsi" w:hAnsiTheme="minorHAnsi" w:cstheme="minorHAnsi"/>
          <w:color w:val="212121"/>
        </w:rPr>
        <w:t>Our review suggests that magnesium supplementation can have a beneficial effect on depression. Future high-quality RCTs with larger sample sizes must be run to interpret this effect of magnesium on depression in clinical settings.</w:t>
      </w:r>
    </w:p>
    <w:p w14:paraId="2A74F6BF" w14:textId="77777777" w:rsidR="001C6C72" w:rsidRPr="00A211FC" w:rsidRDefault="001C6C72" w:rsidP="001C6C72">
      <w:pPr>
        <w:pStyle w:val="Heading1"/>
        <w:shd w:val="clear" w:color="auto" w:fill="FFFFFF"/>
        <w:rPr>
          <w:rFonts w:cstheme="minorHAnsi"/>
          <w:color w:val="212121"/>
          <w:sz w:val="24"/>
          <w:szCs w:val="24"/>
        </w:rPr>
      </w:pPr>
      <w:bookmarkStart w:id="7" w:name="_Toc158045239"/>
      <w:r w:rsidRPr="00A211FC">
        <w:rPr>
          <w:rFonts w:cstheme="minorHAnsi"/>
          <w:color w:val="212121"/>
          <w:sz w:val="24"/>
          <w:szCs w:val="24"/>
        </w:rPr>
        <w:t>Magnesium-ibogaine therapy in veterans with traumatic brain injuries</w:t>
      </w:r>
      <w:bookmarkEnd w:id="7"/>
    </w:p>
    <w:p w14:paraId="065560EC" w14:textId="77777777" w:rsidR="00A211FC" w:rsidRPr="00A211FC" w:rsidRDefault="00A211FC" w:rsidP="001C6C72">
      <w:pPr>
        <w:rPr>
          <w:rFonts w:cstheme="minorHAnsi"/>
          <w:color w:val="212121"/>
          <w:sz w:val="24"/>
          <w:szCs w:val="24"/>
          <w:shd w:val="clear" w:color="auto" w:fill="FFFFFF"/>
        </w:rPr>
      </w:pPr>
    </w:p>
    <w:p w14:paraId="06221660" w14:textId="372E4D39" w:rsidR="001C6C72" w:rsidRPr="00A211FC" w:rsidRDefault="001C6C72"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Cherian KN, Keynan JN, Anker L, Faerman A, Brown RE, Shamma A, Keynan O, Coetzee JP, </w:t>
      </w:r>
      <w:proofErr w:type="spellStart"/>
      <w:r w:rsidRPr="00A211FC">
        <w:rPr>
          <w:rFonts w:cstheme="minorHAnsi"/>
          <w:color w:val="212121"/>
          <w:sz w:val="24"/>
          <w:szCs w:val="24"/>
          <w:shd w:val="clear" w:color="auto" w:fill="FFFFFF"/>
        </w:rPr>
        <w:t>Batail</w:t>
      </w:r>
      <w:proofErr w:type="spellEnd"/>
      <w:r w:rsidRPr="00A211FC">
        <w:rPr>
          <w:rFonts w:cstheme="minorHAnsi"/>
          <w:color w:val="212121"/>
          <w:sz w:val="24"/>
          <w:szCs w:val="24"/>
          <w:shd w:val="clear" w:color="auto" w:fill="FFFFFF"/>
        </w:rPr>
        <w:t xml:space="preserve"> JM, Phillips A, Bassano NJ, </w:t>
      </w:r>
      <w:proofErr w:type="spellStart"/>
      <w:r w:rsidRPr="00A211FC">
        <w:rPr>
          <w:rFonts w:cstheme="minorHAnsi"/>
          <w:color w:val="212121"/>
          <w:sz w:val="24"/>
          <w:szCs w:val="24"/>
          <w:shd w:val="clear" w:color="auto" w:fill="FFFFFF"/>
        </w:rPr>
        <w:t>Sahlem</w:t>
      </w:r>
      <w:proofErr w:type="spellEnd"/>
      <w:r w:rsidRPr="00A211FC">
        <w:rPr>
          <w:rFonts w:cstheme="minorHAnsi"/>
          <w:color w:val="212121"/>
          <w:sz w:val="24"/>
          <w:szCs w:val="24"/>
          <w:shd w:val="clear" w:color="auto" w:fill="FFFFFF"/>
        </w:rPr>
        <w:t xml:space="preserve"> GL, Inzunza J, Millar T, Dickinson J, Rolle CE, Keller J, Adamson M, </w:t>
      </w:r>
      <w:proofErr w:type="spellStart"/>
      <w:r w:rsidRPr="00A211FC">
        <w:rPr>
          <w:rFonts w:cstheme="minorHAnsi"/>
          <w:color w:val="212121"/>
          <w:sz w:val="24"/>
          <w:szCs w:val="24"/>
          <w:shd w:val="clear" w:color="auto" w:fill="FFFFFF"/>
        </w:rPr>
        <w:t>Kratter</w:t>
      </w:r>
      <w:proofErr w:type="spellEnd"/>
      <w:r w:rsidRPr="00A211FC">
        <w:rPr>
          <w:rFonts w:cstheme="minorHAnsi"/>
          <w:color w:val="212121"/>
          <w:sz w:val="24"/>
          <w:szCs w:val="24"/>
          <w:shd w:val="clear" w:color="auto" w:fill="FFFFFF"/>
        </w:rPr>
        <w:t xml:space="preserve"> IH, Williams NR. Magnesium-ibogaine therapy in veterans with traumatic brain injuries. Nat Med. 2024 Jan 5.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10.1038/s41591-023-02705-w.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15" w:history="1">
        <w:r w:rsidRPr="00A211FC">
          <w:rPr>
            <w:rStyle w:val="Hyperlink"/>
            <w:rFonts w:cstheme="minorHAnsi"/>
            <w:sz w:val="24"/>
            <w:szCs w:val="24"/>
            <w:shd w:val="clear" w:color="auto" w:fill="FFFFFF"/>
          </w:rPr>
          <w:t>PMID: 38182784.</w:t>
        </w:r>
      </w:hyperlink>
    </w:p>
    <w:p w14:paraId="0564BFE6" w14:textId="5A3F0B61" w:rsidR="001C6C72" w:rsidRPr="00A211FC" w:rsidRDefault="001C6C72"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Traumatic brain injury (TBI) is a leading cause of disability. Sequelae can include functional impairments and psychiatric syndromes such as post-traumatic stress disorder (PTSD), depression and anxiety. Special Operations Forces (SOF) veterans (SOVs) may be at an elevated </w:t>
      </w:r>
      <w:r w:rsidRPr="00A211FC">
        <w:rPr>
          <w:rFonts w:cstheme="minorHAnsi"/>
          <w:color w:val="212121"/>
          <w:sz w:val="24"/>
          <w:szCs w:val="24"/>
          <w:shd w:val="clear" w:color="auto" w:fill="FFFFFF"/>
        </w:rPr>
        <w:lastRenderedPageBreak/>
        <w:t xml:space="preserve">risk for these complications, leading some to seek underexplored treatment alternatives such as the </w:t>
      </w:r>
      <w:proofErr w:type="spellStart"/>
      <w:r w:rsidRPr="00A211FC">
        <w:rPr>
          <w:rFonts w:cstheme="minorHAnsi"/>
          <w:color w:val="212121"/>
          <w:sz w:val="24"/>
          <w:szCs w:val="24"/>
          <w:shd w:val="clear" w:color="auto" w:fill="FFFFFF"/>
        </w:rPr>
        <w:t>oneirogen</w:t>
      </w:r>
      <w:proofErr w:type="spellEnd"/>
      <w:r w:rsidRPr="00A211FC">
        <w:rPr>
          <w:rFonts w:cstheme="minorHAnsi"/>
          <w:color w:val="212121"/>
          <w:sz w:val="24"/>
          <w:szCs w:val="24"/>
          <w:shd w:val="clear" w:color="auto" w:fill="FFFFFF"/>
        </w:rPr>
        <w:t xml:space="preserve"> ibogaine, a plant-derived compound known to interact with multiple neurotransmitter systems that has been studied primarily as a treatment for substance use disorders. Ibogaine has been associated with instances of fatal cardiac arrhythmia, but coadministration of magnesium may mitigate this concern. In the present study, we report a prospective observational study of the Magnesium-Ibogaine: the Stanford Traumatic Injury to the CNS protocol (MISTIC), provided together with complementary treatment modalities, in 30 male SOVs with predominantly mild TBI. We assessed changes in the World Health Organization Disability Assessment Schedule from baseline to immediately (primary outcome) and 1 month (secondary outcome) after treatment. Additional secondary outcomes included changes in PTSD (Clinician-Administered PTSD Scale for DSM-5), depression (Montgomery-</w:t>
      </w:r>
      <w:proofErr w:type="spellStart"/>
      <w:r w:rsidRPr="00A211FC">
        <w:rPr>
          <w:rFonts w:cstheme="minorHAnsi"/>
          <w:color w:val="212121"/>
          <w:sz w:val="24"/>
          <w:szCs w:val="24"/>
          <w:shd w:val="clear" w:color="auto" w:fill="FFFFFF"/>
        </w:rPr>
        <w:t>Åsberg</w:t>
      </w:r>
      <w:proofErr w:type="spellEnd"/>
      <w:r w:rsidRPr="00A211FC">
        <w:rPr>
          <w:rFonts w:cstheme="minorHAnsi"/>
          <w:color w:val="212121"/>
          <w:sz w:val="24"/>
          <w:szCs w:val="24"/>
          <w:shd w:val="clear" w:color="auto" w:fill="FFFFFF"/>
        </w:rPr>
        <w:t xml:space="preserve"> Depression Rating Scale) and anxiety (Hamilton Anxiety Rating Scale). MISTIC resulted in significant improvements in functioning both immediately (</w:t>
      </w:r>
      <w:proofErr w:type="spellStart"/>
      <w:r w:rsidRPr="00A211FC">
        <w:rPr>
          <w:rFonts w:cstheme="minorHAnsi"/>
          <w:color w:val="212121"/>
          <w:sz w:val="24"/>
          <w:szCs w:val="24"/>
          <w:shd w:val="clear" w:color="auto" w:fill="FFFFFF"/>
        </w:rPr>
        <w:t>P</w:t>
      </w:r>
      <w:r w:rsidRPr="00A211FC">
        <w:rPr>
          <w:rFonts w:cstheme="minorHAnsi"/>
          <w:color w:val="212121"/>
          <w:sz w:val="24"/>
          <w:szCs w:val="24"/>
          <w:shd w:val="clear" w:color="auto" w:fill="FFFFFF"/>
          <w:vertAlign w:val="subscript"/>
        </w:rPr>
        <w:t>corrected</w:t>
      </w:r>
      <w:proofErr w:type="spellEnd"/>
      <w:r w:rsidRPr="00A211FC">
        <w:rPr>
          <w:rFonts w:cstheme="minorHAnsi"/>
          <w:color w:val="212121"/>
          <w:sz w:val="24"/>
          <w:szCs w:val="24"/>
          <w:shd w:val="clear" w:color="auto" w:fill="FFFFFF"/>
        </w:rPr>
        <w:t> &lt; 0.001, Cohen's d = 0.74) and 1 month (</w:t>
      </w:r>
      <w:proofErr w:type="spellStart"/>
      <w:r w:rsidRPr="00A211FC">
        <w:rPr>
          <w:rFonts w:cstheme="minorHAnsi"/>
          <w:color w:val="212121"/>
          <w:sz w:val="24"/>
          <w:szCs w:val="24"/>
          <w:shd w:val="clear" w:color="auto" w:fill="FFFFFF"/>
        </w:rPr>
        <w:t>P</w:t>
      </w:r>
      <w:r w:rsidRPr="00A211FC">
        <w:rPr>
          <w:rFonts w:cstheme="minorHAnsi"/>
          <w:color w:val="212121"/>
          <w:sz w:val="24"/>
          <w:szCs w:val="24"/>
          <w:shd w:val="clear" w:color="auto" w:fill="FFFFFF"/>
          <w:vertAlign w:val="subscript"/>
        </w:rPr>
        <w:t>corrected</w:t>
      </w:r>
      <w:proofErr w:type="spellEnd"/>
      <w:r w:rsidRPr="00A211FC">
        <w:rPr>
          <w:rFonts w:cstheme="minorHAnsi"/>
          <w:color w:val="212121"/>
          <w:sz w:val="24"/>
          <w:szCs w:val="24"/>
          <w:shd w:val="clear" w:color="auto" w:fill="FFFFFF"/>
        </w:rPr>
        <w:t> &lt; 0.001, d = 2.20) after treatment and in PTSD (</w:t>
      </w:r>
      <w:proofErr w:type="spellStart"/>
      <w:r w:rsidRPr="00A211FC">
        <w:rPr>
          <w:rFonts w:cstheme="minorHAnsi"/>
          <w:color w:val="212121"/>
          <w:sz w:val="24"/>
          <w:szCs w:val="24"/>
          <w:shd w:val="clear" w:color="auto" w:fill="FFFFFF"/>
        </w:rPr>
        <w:t>P</w:t>
      </w:r>
      <w:r w:rsidRPr="00A211FC">
        <w:rPr>
          <w:rFonts w:cstheme="minorHAnsi"/>
          <w:color w:val="212121"/>
          <w:sz w:val="24"/>
          <w:szCs w:val="24"/>
          <w:shd w:val="clear" w:color="auto" w:fill="FFFFFF"/>
          <w:vertAlign w:val="subscript"/>
        </w:rPr>
        <w:t>corrected</w:t>
      </w:r>
      <w:proofErr w:type="spellEnd"/>
      <w:r w:rsidRPr="00A211FC">
        <w:rPr>
          <w:rFonts w:cstheme="minorHAnsi"/>
          <w:color w:val="212121"/>
          <w:sz w:val="24"/>
          <w:szCs w:val="24"/>
          <w:shd w:val="clear" w:color="auto" w:fill="FFFFFF"/>
        </w:rPr>
        <w:t> &lt; 0.001, d = 2.54), depression (</w:t>
      </w:r>
      <w:proofErr w:type="spellStart"/>
      <w:r w:rsidRPr="00A211FC">
        <w:rPr>
          <w:rFonts w:cstheme="minorHAnsi"/>
          <w:color w:val="212121"/>
          <w:sz w:val="24"/>
          <w:szCs w:val="24"/>
          <w:shd w:val="clear" w:color="auto" w:fill="FFFFFF"/>
        </w:rPr>
        <w:t>P</w:t>
      </w:r>
      <w:r w:rsidRPr="00A211FC">
        <w:rPr>
          <w:rFonts w:cstheme="minorHAnsi"/>
          <w:color w:val="212121"/>
          <w:sz w:val="24"/>
          <w:szCs w:val="24"/>
          <w:shd w:val="clear" w:color="auto" w:fill="FFFFFF"/>
          <w:vertAlign w:val="subscript"/>
        </w:rPr>
        <w:t>corrected</w:t>
      </w:r>
      <w:proofErr w:type="spellEnd"/>
      <w:r w:rsidRPr="00A211FC">
        <w:rPr>
          <w:rFonts w:cstheme="minorHAnsi"/>
          <w:color w:val="212121"/>
          <w:sz w:val="24"/>
          <w:szCs w:val="24"/>
          <w:shd w:val="clear" w:color="auto" w:fill="FFFFFF"/>
        </w:rPr>
        <w:t> &lt; 0.001, d = 2.80) and anxiety (</w:t>
      </w:r>
      <w:proofErr w:type="spellStart"/>
      <w:r w:rsidRPr="00A211FC">
        <w:rPr>
          <w:rFonts w:cstheme="minorHAnsi"/>
          <w:color w:val="212121"/>
          <w:sz w:val="24"/>
          <w:szCs w:val="24"/>
          <w:shd w:val="clear" w:color="auto" w:fill="FFFFFF"/>
        </w:rPr>
        <w:t>P</w:t>
      </w:r>
      <w:r w:rsidRPr="00A211FC">
        <w:rPr>
          <w:rFonts w:cstheme="minorHAnsi"/>
          <w:color w:val="212121"/>
          <w:sz w:val="24"/>
          <w:szCs w:val="24"/>
          <w:shd w:val="clear" w:color="auto" w:fill="FFFFFF"/>
          <w:vertAlign w:val="subscript"/>
        </w:rPr>
        <w:t>corrected</w:t>
      </w:r>
      <w:proofErr w:type="spellEnd"/>
      <w:r w:rsidRPr="00A211FC">
        <w:rPr>
          <w:rFonts w:cstheme="minorHAnsi"/>
          <w:color w:val="212121"/>
          <w:sz w:val="24"/>
          <w:szCs w:val="24"/>
          <w:shd w:val="clear" w:color="auto" w:fill="FFFFFF"/>
        </w:rPr>
        <w:t> &lt; 0.001, d = 2.13) at 1 month after treatment. There were no unexpected or serious adverse events. Controlled clinical trials to assess safety and efficacy are needed to validate these initial open-label findings. ClinicalTrials.gov registration: </w:t>
      </w:r>
      <w:hyperlink r:id="rId16" w:tooltip="See in ClinicalTrials.gov" w:history="1">
        <w:r w:rsidRPr="00A211FC">
          <w:rPr>
            <w:rStyle w:val="Hyperlink"/>
            <w:rFonts w:cstheme="minorHAnsi"/>
            <w:color w:val="0071BC"/>
            <w:sz w:val="24"/>
            <w:szCs w:val="24"/>
            <w:shd w:val="clear" w:color="auto" w:fill="FFFFFF"/>
          </w:rPr>
          <w:t>NCT04313712</w:t>
        </w:r>
      </w:hyperlink>
      <w:r w:rsidRPr="00A211FC">
        <w:rPr>
          <w:rFonts w:cstheme="minorHAnsi"/>
          <w:color w:val="212121"/>
          <w:sz w:val="24"/>
          <w:szCs w:val="24"/>
          <w:shd w:val="clear" w:color="auto" w:fill="FFFFFF"/>
        </w:rPr>
        <w:t> .</w:t>
      </w:r>
    </w:p>
    <w:p w14:paraId="3EBFF8E0" w14:textId="77777777" w:rsidR="00A211FC" w:rsidRPr="00A211FC" w:rsidRDefault="00A211FC" w:rsidP="001C6C72">
      <w:pPr>
        <w:rPr>
          <w:rFonts w:cstheme="minorHAnsi"/>
          <w:color w:val="212121"/>
          <w:sz w:val="24"/>
          <w:szCs w:val="24"/>
          <w:shd w:val="clear" w:color="auto" w:fill="FFFFFF"/>
        </w:rPr>
      </w:pPr>
    </w:p>
    <w:p w14:paraId="26D6F006" w14:textId="77777777" w:rsidR="001C6C72" w:rsidRPr="00A211FC" w:rsidRDefault="001C6C72" w:rsidP="001C6C72">
      <w:pPr>
        <w:pStyle w:val="Heading1"/>
        <w:shd w:val="clear" w:color="auto" w:fill="FFFFFF"/>
        <w:rPr>
          <w:rFonts w:cstheme="minorHAnsi"/>
          <w:color w:val="212121"/>
          <w:sz w:val="24"/>
          <w:szCs w:val="24"/>
        </w:rPr>
      </w:pPr>
      <w:bookmarkStart w:id="8" w:name="_Toc158045240"/>
      <w:r w:rsidRPr="00A211FC">
        <w:rPr>
          <w:rFonts w:cstheme="minorHAnsi"/>
          <w:color w:val="212121"/>
          <w:sz w:val="24"/>
          <w:szCs w:val="24"/>
        </w:rPr>
        <w:t>Impact of depression on stroke outcomes among stroke survivors: Systematic review and meta-analysis</w:t>
      </w:r>
      <w:bookmarkEnd w:id="8"/>
    </w:p>
    <w:p w14:paraId="1A90736F" w14:textId="77777777" w:rsidR="00A211FC" w:rsidRPr="00A211FC" w:rsidRDefault="00A211FC" w:rsidP="001C6C72">
      <w:pPr>
        <w:rPr>
          <w:rFonts w:cstheme="minorHAnsi"/>
          <w:color w:val="212121"/>
          <w:sz w:val="24"/>
          <w:szCs w:val="24"/>
          <w:shd w:val="clear" w:color="auto" w:fill="FFFFFF"/>
        </w:rPr>
      </w:pPr>
    </w:p>
    <w:p w14:paraId="6F12886C" w14:textId="728CB1DE" w:rsidR="001C6C72" w:rsidRPr="00A211FC" w:rsidRDefault="001C6C72" w:rsidP="001C6C72">
      <w:pPr>
        <w:rPr>
          <w:rFonts w:cstheme="minorHAnsi"/>
          <w:color w:val="212121"/>
          <w:sz w:val="24"/>
          <w:szCs w:val="24"/>
          <w:shd w:val="clear" w:color="auto" w:fill="FFFFFF"/>
        </w:rPr>
      </w:pPr>
      <w:proofErr w:type="spellStart"/>
      <w:r w:rsidRPr="00A211FC">
        <w:rPr>
          <w:rFonts w:cstheme="minorHAnsi"/>
          <w:color w:val="212121"/>
          <w:sz w:val="24"/>
          <w:szCs w:val="24"/>
          <w:shd w:val="clear" w:color="auto" w:fill="FFFFFF"/>
        </w:rPr>
        <w:t>Shewangizaw</w:t>
      </w:r>
      <w:proofErr w:type="spellEnd"/>
      <w:r w:rsidRPr="00A211FC">
        <w:rPr>
          <w:rFonts w:cstheme="minorHAnsi"/>
          <w:color w:val="212121"/>
          <w:sz w:val="24"/>
          <w:szCs w:val="24"/>
          <w:shd w:val="clear" w:color="auto" w:fill="FFFFFF"/>
        </w:rPr>
        <w:t xml:space="preserve"> S, Fekadu W, Gebregzihabhier Y, </w:t>
      </w:r>
      <w:proofErr w:type="spellStart"/>
      <w:r w:rsidRPr="00A211FC">
        <w:rPr>
          <w:rFonts w:cstheme="minorHAnsi"/>
          <w:color w:val="212121"/>
          <w:sz w:val="24"/>
          <w:szCs w:val="24"/>
          <w:shd w:val="clear" w:color="auto" w:fill="FFFFFF"/>
        </w:rPr>
        <w:t>Mihretu</w:t>
      </w:r>
      <w:proofErr w:type="spellEnd"/>
      <w:r w:rsidRPr="00A211FC">
        <w:rPr>
          <w:rFonts w:cstheme="minorHAnsi"/>
          <w:color w:val="212121"/>
          <w:sz w:val="24"/>
          <w:szCs w:val="24"/>
          <w:shd w:val="clear" w:color="auto" w:fill="FFFFFF"/>
        </w:rPr>
        <w:t xml:space="preserve"> A, </w:t>
      </w:r>
      <w:proofErr w:type="spellStart"/>
      <w:r w:rsidRPr="00A211FC">
        <w:rPr>
          <w:rFonts w:cstheme="minorHAnsi"/>
          <w:color w:val="212121"/>
          <w:sz w:val="24"/>
          <w:szCs w:val="24"/>
          <w:shd w:val="clear" w:color="auto" w:fill="FFFFFF"/>
        </w:rPr>
        <w:t>Sackley</w:t>
      </w:r>
      <w:proofErr w:type="spellEnd"/>
      <w:r w:rsidRPr="00A211FC">
        <w:rPr>
          <w:rFonts w:cstheme="minorHAnsi"/>
          <w:color w:val="212121"/>
          <w:sz w:val="24"/>
          <w:szCs w:val="24"/>
          <w:shd w:val="clear" w:color="auto" w:fill="FFFFFF"/>
        </w:rPr>
        <w:t xml:space="preserve"> C, Alem A. Impact of depression on stroke outcomes among stroke survivors: Systematic review and meta-analysis. </w:t>
      </w:r>
      <w:proofErr w:type="spellStart"/>
      <w:r w:rsidRPr="00A211FC">
        <w:rPr>
          <w:rFonts w:cstheme="minorHAnsi"/>
          <w:color w:val="212121"/>
          <w:sz w:val="24"/>
          <w:szCs w:val="24"/>
          <w:shd w:val="clear" w:color="auto" w:fill="FFFFFF"/>
        </w:rPr>
        <w:t>PLoS</w:t>
      </w:r>
      <w:proofErr w:type="spellEnd"/>
      <w:r w:rsidRPr="00A211FC">
        <w:rPr>
          <w:rFonts w:cstheme="minorHAnsi"/>
          <w:color w:val="212121"/>
          <w:sz w:val="24"/>
          <w:szCs w:val="24"/>
          <w:shd w:val="clear" w:color="auto" w:fill="FFFFFF"/>
        </w:rPr>
        <w:t xml:space="preserve"> One. 2023 Dec 1;18(12</w:t>
      </w:r>
      <w:proofErr w:type="gramStart"/>
      <w:r w:rsidRPr="00A211FC">
        <w:rPr>
          <w:rFonts w:cstheme="minorHAnsi"/>
          <w:color w:val="212121"/>
          <w:sz w:val="24"/>
          <w:szCs w:val="24"/>
          <w:shd w:val="clear" w:color="auto" w:fill="FFFFFF"/>
        </w:rPr>
        <w:t>):e</w:t>
      </w:r>
      <w:proofErr w:type="gramEnd"/>
      <w:r w:rsidRPr="00A211FC">
        <w:rPr>
          <w:rFonts w:cstheme="minorHAnsi"/>
          <w:color w:val="212121"/>
          <w:sz w:val="24"/>
          <w:szCs w:val="24"/>
          <w:shd w:val="clear" w:color="auto" w:fill="FFFFFF"/>
        </w:rPr>
        <w:t xml:space="preserve">0294668.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10.1371/journal.pone.0294668. </w:t>
      </w:r>
      <w:hyperlink r:id="rId17" w:history="1">
        <w:r w:rsidRPr="00A211FC">
          <w:rPr>
            <w:rStyle w:val="Hyperlink"/>
            <w:rFonts w:cstheme="minorHAnsi"/>
            <w:sz w:val="24"/>
            <w:szCs w:val="24"/>
            <w:shd w:val="clear" w:color="auto" w:fill="FFFFFF"/>
          </w:rPr>
          <w:t>PMID: 38039323</w:t>
        </w:r>
      </w:hyperlink>
      <w:r w:rsidRPr="00A211FC">
        <w:rPr>
          <w:rFonts w:cstheme="minorHAnsi"/>
          <w:color w:val="212121"/>
          <w:sz w:val="24"/>
          <w:szCs w:val="24"/>
          <w:shd w:val="clear" w:color="auto" w:fill="FFFFFF"/>
        </w:rPr>
        <w:t>; PMCID: PMC10691726.</w:t>
      </w:r>
    </w:p>
    <w:p w14:paraId="1DC9591F"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Background: </w:t>
      </w:r>
      <w:r w:rsidRPr="00A211FC">
        <w:rPr>
          <w:rFonts w:asciiTheme="minorHAnsi" w:hAnsiTheme="minorHAnsi" w:cstheme="minorHAnsi"/>
          <w:color w:val="212121"/>
        </w:rPr>
        <w:t>Depression may negatively affect stroke outcomes and the progress of recovery. However, there is a lack of updated comprehensive evidence to inform clinical practice and directions of future studies. In this review, we report the multidimensional impact of depression on stroke outcomes.</w:t>
      </w:r>
    </w:p>
    <w:p w14:paraId="506CA98B"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Methods: </w:t>
      </w:r>
      <w:r w:rsidRPr="00A211FC">
        <w:rPr>
          <w:rFonts w:asciiTheme="minorHAnsi" w:hAnsiTheme="minorHAnsi" w:cstheme="minorHAnsi"/>
          <w:color w:val="212121"/>
        </w:rPr>
        <w:t>Data sources. PubMed, PsycINFO, EMBASE, and Global Index Medicus were searched from the date of inception. Eligibility criteria. Prospective studies which investigated the impact of depression on stroke outcomes (cognition, returning to work, quality of life, functioning, and survival) were included. Data extraction. Two authors extracted data independently and solved the difference with a third reviewer using an extraction tool developed prior. The extraction tool included sample size, measurement, duration of follow-up, stroke outcomes, statistical analysis, and predictors outcomes. Risk of bias. We used Effective Public Health Practice Project (EPHPP) to assess the quality of the included studies.</w:t>
      </w:r>
    </w:p>
    <w:p w14:paraId="73B11B93"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lastRenderedPageBreak/>
        <w:t>Results: </w:t>
      </w:r>
      <w:r w:rsidRPr="00A211FC">
        <w:rPr>
          <w:rFonts w:asciiTheme="minorHAnsi" w:hAnsiTheme="minorHAnsi" w:cstheme="minorHAnsi"/>
          <w:color w:val="212121"/>
        </w:rPr>
        <w:t>Eighty prospective studies were included in the review. These studies investigated the impact of depression on the ability to return to work (n = 4), quality of life (n = 12), cognitive impairment (n = 5), functioning (n = 43), and mortality (n = 24) where a study may report on more than one outcome. Though there were inconsistencies, the evidence reported that depression had negative consequences on returning to work, functioning, quality of life, and mortality rate. However, the impact on cognition was not conclusive. In the meta-analysis, depression was associated with premature mortality (HR: 1.61 (95% CI; 1.33, 1.96)), and worse functioning (OR: 1.64 (95% CI; 1.36, 1.99)).</w:t>
      </w:r>
    </w:p>
    <w:p w14:paraId="6C7BCDB0"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 </w:t>
      </w:r>
      <w:r w:rsidRPr="00A211FC">
        <w:rPr>
          <w:rFonts w:asciiTheme="minorHAnsi" w:hAnsiTheme="minorHAnsi" w:cstheme="minorHAnsi"/>
          <w:color w:val="212121"/>
        </w:rPr>
        <w:t>Depression affects many aspects of stroke outcomes including survival The evidence is not conclusive on cognition and there was a lack of evidence in low-income settings. The results showed the need for early diagnosis and intervention of depression after stroke. The protocol was pre-registered on the International Prospective Register of Systematic Review (PROSPERO) (CRD42021230579).</w:t>
      </w:r>
    </w:p>
    <w:p w14:paraId="2DC8721E" w14:textId="77777777" w:rsidR="001C6C72" w:rsidRPr="00A211FC" w:rsidRDefault="001C6C72" w:rsidP="001C6C72">
      <w:pPr>
        <w:pStyle w:val="Heading1"/>
        <w:shd w:val="clear" w:color="auto" w:fill="FFFFFF"/>
        <w:rPr>
          <w:rFonts w:cstheme="minorHAnsi"/>
          <w:color w:val="212121"/>
          <w:sz w:val="24"/>
          <w:szCs w:val="24"/>
        </w:rPr>
      </w:pPr>
      <w:bookmarkStart w:id="9" w:name="_Toc158045241"/>
      <w:r w:rsidRPr="00A211FC">
        <w:rPr>
          <w:rFonts w:cstheme="minorHAnsi"/>
          <w:color w:val="212121"/>
          <w:sz w:val="24"/>
          <w:szCs w:val="24"/>
        </w:rPr>
        <w:t>Psilocybin-assisted group therapy in patients with cancer diagnosed with a major depressive disorder</w:t>
      </w:r>
      <w:bookmarkEnd w:id="9"/>
    </w:p>
    <w:p w14:paraId="1D01F34D" w14:textId="77777777" w:rsidR="00A211FC" w:rsidRPr="00A211FC" w:rsidRDefault="00A211FC" w:rsidP="001C6C72">
      <w:pPr>
        <w:rPr>
          <w:rFonts w:cstheme="minorHAnsi"/>
          <w:color w:val="212121"/>
          <w:sz w:val="24"/>
          <w:szCs w:val="24"/>
          <w:shd w:val="clear" w:color="auto" w:fill="FFFFFF"/>
        </w:rPr>
      </w:pPr>
    </w:p>
    <w:p w14:paraId="50323421" w14:textId="32A91E73" w:rsidR="001C6C72" w:rsidRPr="00A211FC" w:rsidRDefault="001C6C72"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Agrawal M, Richards W, </w:t>
      </w:r>
      <w:proofErr w:type="spellStart"/>
      <w:r w:rsidRPr="00A211FC">
        <w:rPr>
          <w:rFonts w:cstheme="minorHAnsi"/>
          <w:color w:val="212121"/>
          <w:sz w:val="24"/>
          <w:szCs w:val="24"/>
          <w:shd w:val="clear" w:color="auto" w:fill="FFFFFF"/>
        </w:rPr>
        <w:t>Beaussant</w:t>
      </w:r>
      <w:proofErr w:type="spellEnd"/>
      <w:r w:rsidRPr="00A211FC">
        <w:rPr>
          <w:rFonts w:cstheme="minorHAnsi"/>
          <w:color w:val="212121"/>
          <w:sz w:val="24"/>
          <w:szCs w:val="24"/>
          <w:shd w:val="clear" w:color="auto" w:fill="FFFFFF"/>
        </w:rPr>
        <w:t xml:space="preserve"> Y, Shnayder S, Ameli R, Roddy K, Stevens N, Richards B, Schor N, Honstein H, Jenkins B, Bates M, Thambi P. Psilocybin-assisted group therapy in patients with cancer diagnosed with a major depressive disorder. Cancer. 2023 Dec 18.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10.1002/cncr.35010.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18" w:history="1">
        <w:r w:rsidRPr="00A211FC">
          <w:rPr>
            <w:rStyle w:val="Hyperlink"/>
            <w:rFonts w:cstheme="minorHAnsi"/>
            <w:sz w:val="24"/>
            <w:szCs w:val="24"/>
            <w:shd w:val="clear" w:color="auto" w:fill="FFFFFF"/>
          </w:rPr>
          <w:t>PMID: 38105655.</w:t>
        </w:r>
      </w:hyperlink>
    </w:p>
    <w:p w14:paraId="6C09F945"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Background: </w:t>
      </w:r>
      <w:r w:rsidRPr="00A211FC">
        <w:rPr>
          <w:rFonts w:asciiTheme="minorHAnsi" w:hAnsiTheme="minorHAnsi" w:cstheme="minorHAnsi"/>
          <w:color w:val="212121"/>
        </w:rPr>
        <w:t>Depression is common in patients with cancer and is associated with lower treatment adherence and reduced quality of life. Antidepressants and psychotherapy have limited success in improving depression among patients with cancer. This study explored the safety, feasibility, and efficacy of psilocybin-assisted therapy in patients with cancer and major depressive disorder.</w:t>
      </w:r>
    </w:p>
    <w:p w14:paraId="55ACC719"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Methods: </w:t>
      </w:r>
      <w:r w:rsidRPr="00A211FC">
        <w:rPr>
          <w:rFonts w:asciiTheme="minorHAnsi" w:hAnsiTheme="minorHAnsi" w:cstheme="minorHAnsi"/>
          <w:color w:val="212121"/>
        </w:rPr>
        <w:t xml:space="preserve">This phase 2, open-label trial enrolled patients with curable and </w:t>
      </w:r>
      <w:proofErr w:type="spellStart"/>
      <w:r w:rsidRPr="00A211FC">
        <w:rPr>
          <w:rFonts w:asciiTheme="minorHAnsi" w:hAnsiTheme="minorHAnsi" w:cstheme="minorHAnsi"/>
          <w:color w:val="212121"/>
        </w:rPr>
        <w:t>noncurable</w:t>
      </w:r>
      <w:proofErr w:type="spellEnd"/>
      <w:r w:rsidRPr="00A211FC">
        <w:rPr>
          <w:rFonts w:asciiTheme="minorHAnsi" w:hAnsiTheme="minorHAnsi" w:cstheme="minorHAnsi"/>
          <w:color w:val="212121"/>
        </w:rPr>
        <w:t xml:space="preserve"> cancer and major depressive disorder at a single community oncology practice site. A single 25-mg dose of psilocybin was administered simultaneously to cohorts of three to four participants with individual (4.25 hours in 1:1 therapist-to-patient ratio) and group therapeutic support (3.75 hours) before, during, and after psilocybin administration. Outcomes included depression severity, anxiety, pain, demoralization, and disability.</w:t>
      </w:r>
    </w:p>
    <w:p w14:paraId="605EEDCF"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 xml:space="preserve">Thirty participants completed the study. No psilocybin-related serious adverse events occurred; treatment-related adverse events (e.g., nausea, headache) were generally mild and expected. There were no laboratory or electrocardiogram abnormalities. No suicidality was reported. Efficacy was suggested with a robust reduction in depression severity scores from baseline to posttreatment of 19.1 points (95% CI, 22.3 to -16.0; p &lt; .0001) by week 8. Eighty </w:t>
      </w:r>
      <w:r w:rsidRPr="00A211FC">
        <w:rPr>
          <w:rFonts w:asciiTheme="minorHAnsi" w:hAnsiTheme="minorHAnsi" w:cstheme="minorHAnsi"/>
          <w:color w:val="212121"/>
        </w:rPr>
        <w:lastRenderedPageBreak/>
        <w:t>percent of participants demonstrated a sustained response to psilocybin treatment; 50% showed full remission of depressive symptoms at week 1, which was sustained for 8 weeks.</w:t>
      </w:r>
    </w:p>
    <w:p w14:paraId="34D61556"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Conclusions: </w:t>
      </w:r>
      <w:r w:rsidRPr="00A211FC">
        <w:rPr>
          <w:rFonts w:asciiTheme="minorHAnsi" w:hAnsiTheme="minorHAnsi" w:cstheme="minorHAnsi"/>
          <w:color w:val="212121"/>
        </w:rPr>
        <w:t>Psilocybin-assisted therapy in group cohort administration was safe and feasible in patients with cancer and depression. Efficacy was suggested based on clinically meaningful reductions in depressive symptoms. The novel, group-oriented format, compact delivery time, community cancer center setting, and one-to-one therapist-to-patient ratio could also add to therapeutic gains and efficiency of administration.</w:t>
      </w:r>
    </w:p>
    <w:p w14:paraId="5174BF47" w14:textId="77777777" w:rsidR="001C6C72" w:rsidRPr="00A211FC" w:rsidRDefault="001C6C72" w:rsidP="001C6C72">
      <w:pPr>
        <w:pStyle w:val="Heading1"/>
        <w:shd w:val="clear" w:color="auto" w:fill="FFFFFF"/>
        <w:rPr>
          <w:rFonts w:cstheme="minorHAnsi"/>
          <w:color w:val="212121"/>
          <w:sz w:val="24"/>
          <w:szCs w:val="24"/>
        </w:rPr>
      </w:pPr>
      <w:bookmarkStart w:id="10" w:name="_Toc158045242"/>
      <w:r w:rsidRPr="00A211FC">
        <w:rPr>
          <w:rFonts w:cstheme="minorHAnsi"/>
          <w:color w:val="212121"/>
          <w:sz w:val="24"/>
          <w:szCs w:val="24"/>
        </w:rPr>
        <w:t>Live two-way video versus face-to-face treatment for depression, anxiety, and obsessive-compulsive disorder: A 24-week randomized controlled trial</w:t>
      </w:r>
      <w:bookmarkEnd w:id="10"/>
    </w:p>
    <w:p w14:paraId="1380D811" w14:textId="77777777" w:rsidR="00A211FC" w:rsidRPr="00A211FC" w:rsidRDefault="00A211FC" w:rsidP="001C6C72">
      <w:pPr>
        <w:rPr>
          <w:rFonts w:cstheme="minorHAnsi"/>
          <w:color w:val="212121"/>
          <w:sz w:val="24"/>
          <w:szCs w:val="24"/>
          <w:shd w:val="clear" w:color="auto" w:fill="FFFFFF"/>
        </w:rPr>
      </w:pPr>
    </w:p>
    <w:p w14:paraId="0A85C087" w14:textId="6EDF9C6C" w:rsidR="001C6C72" w:rsidRPr="00A211FC" w:rsidRDefault="001C6C72"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Kishimoto T, Kinoshita S, Kitazawa M, </w:t>
      </w:r>
      <w:proofErr w:type="spellStart"/>
      <w:r w:rsidRPr="00A211FC">
        <w:rPr>
          <w:rFonts w:cstheme="minorHAnsi"/>
          <w:color w:val="212121"/>
          <w:sz w:val="24"/>
          <w:szCs w:val="24"/>
          <w:shd w:val="clear" w:color="auto" w:fill="FFFFFF"/>
        </w:rPr>
        <w:t>Hishimoto</w:t>
      </w:r>
      <w:proofErr w:type="spellEnd"/>
      <w:r w:rsidRPr="00A211FC">
        <w:rPr>
          <w:rFonts w:cstheme="minorHAnsi"/>
          <w:color w:val="212121"/>
          <w:sz w:val="24"/>
          <w:szCs w:val="24"/>
          <w:shd w:val="clear" w:color="auto" w:fill="FFFFFF"/>
        </w:rPr>
        <w:t xml:space="preserve"> A, Asami T, Suda A, Bun S, Kikuchi T, Sado M, Takamiya A, Mimura M, Sato Y, Takemura R, Nagashima K, </w:t>
      </w:r>
      <w:proofErr w:type="spellStart"/>
      <w:r w:rsidRPr="00A211FC">
        <w:rPr>
          <w:rFonts w:cstheme="minorHAnsi"/>
          <w:color w:val="212121"/>
          <w:sz w:val="24"/>
          <w:szCs w:val="24"/>
          <w:shd w:val="clear" w:color="auto" w:fill="FFFFFF"/>
        </w:rPr>
        <w:t>Nakamae</w:t>
      </w:r>
      <w:proofErr w:type="spellEnd"/>
      <w:r w:rsidRPr="00A211FC">
        <w:rPr>
          <w:rFonts w:cstheme="minorHAnsi"/>
          <w:color w:val="212121"/>
          <w:sz w:val="24"/>
          <w:szCs w:val="24"/>
          <w:shd w:val="clear" w:color="auto" w:fill="FFFFFF"/>
        </w:rPr>
        <w:t xml:space="preserve"> T, Abe Y, Kanazawa T, Kawabata Y, Tomita H, Abe K, Hongo S, Kimura H, Sato A, Kida H, Sakuma K, </w:t>
      </w:r>
      <w:proofErr w:type="spellStart"/>
      <w:r w:rsidRPr="00A211FC">
        <w:rPr>
          <w:rFonts w:cstheme="minorHAnsi"/>
          <w:color w:val="212121"/>
          <w:sz w:val="24"/>
          <w:szCs w:val="24"/>
          <w:shd w:val="clear" w:color="auto" w:fill="FFFFFF"/>
        </w:rPr>
        <w:t>Funayama</w:t>
      </w:r>
      <w:proofErr w:type="spellEnd"/>
      <w:r w:rsidRPr="00A211FC">
        <w:rPr>
          <w:rFonts w:cstheme="minorHAnsi"/>
          <w:color w:val="212121"/>
          <w:sz w:val="24"/>
          <w:szCs w:val="24"/>
          <w:shd w:val="clear" w:color="auto" w:fill="FFFFFF"/>
        </w:rPr>
        <w:t xml:space="preserve"> M, Sugiyama N, Hino K, Amagai T, Takamiya M, Kodama H, Goto K, Fujiwara S, Kaiya H, Nagao K; J-PROTECT collaborators. Live two-way video versus face-to-face treatment for depression, anxiety, and obsessive-compulsive disorder: A 24-week randomized controlled trial. Psychiatry Clin </w:t>
      </w:r>
      <w:proofErr w:type="spellStart"/>
      <w:r w:rsidRPr="00A211FC">
        <w:rPr>
          <w:rFonts w:cstheme="minorHAnsi"/>
          <w:color w:val="212121"/>
          <w:sz w:val="24"/>
          <w:szCs w:val="24"/>
          <w:shd w:val="clear" w:color="auto" w:fill="FFFFFF"/>
        </w:rPr>
        <w:t>Neurosci</w:t>
      </w:r>
      <w:proofErr w:type="spellEnd"/>
      <w:r w:rsidRPr="00A211FC">
        <w:rPr>
          <w:rFonts w:cstheme="minorHAnsi"/>
          <w:color w:val="212121"/>
          <w:sz w:val="24"/>
          <w:szCs w:val="24"/>
          <w:shd w:val="clear" w:color="auto" w:fill="FFFFFF"/>
        </w:rPr>
        <w:t xml:space="preserve">. 2023 Dec 15.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10.1111/pcn.13618.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19" w:history="1">
        <w:r w:rsidRPr="00A211FC">
          <w:rPr>
            <w:rStyle w:val="Hyperlink"/>
            <w:rFonts w:cstheme="minorHAnsi"/>
            <w:sz w:val="24"/>
            <w:szCs w:val="24"/>
            <w:shd w:val="clear" w:color="auto" w:fill="FFFFFF"/>
          </w:rPr>
          <w:t>PMID: 38102849</w:t>
        </w:r>
      </w:hyperlink>
      <w:r w:rsidRPr="00A211FC">
        <w:rPr>
          <w:rFonts w:cstheme="minorHAnsi"/>
          <w:color w:val="212121"/>
          <w:sz w:val="24"/>
          <w:szCs w:val="24"/>
          <w:shd w:val="clear" w:color="auto" w:fill="FFFFFF"/>
        </w:rPr>
        <w:t>.</w:t>
      </w:r>
    </w:p>
    <w:p w14:paraId="53DE9AB9"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Aim: </w:t>
      </w:r>
      <w:r w:rsidRPr="00A211FC">
        <w:rPr>
          <w:rFonts w:asciiTheme="minorHAnsi" w:hAnsiTheme="minorHAnsi" w:cstheme="minorHAnsi"/>
          <w:color w:val="212121"/>
        </w:rPr>
        <w:t>Live two-way video, easily accessible from home via smartphones and other devices, is becoming a new way of providing psychiatric treatment. However, lack of evidence for real-world clinical setting effectiveness hampers its approval by medical insurance in some countries. Here, we conducted the first large-scale pragmatic, randomized controlled trial to determine the effectiveness of long-term treatment for multiple psychiatric disorders via two-way video using smartphones and other devices, which are currently the primary means of telecommunication.</w:t>
      </w:r>
    </w:p>
    <w:p w14:paraId="1DE2990E"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Methods: </w:t>
      </w:r>
      <w:r w:rsidRPr="00A211FC">
        <w:rPr>
          <w:rFonts w:asciiTheme="minorHAnsi" w:hAnsiTheme="minorHAnsi" w:cstheme="minorHAnsi"/>
          <w:color w:val="212121"/>
        </w:rPr>
        <w:t>This randomized controlled trial compared two-way video versus face-to-face treatment for depressive disorder, anxiety disorder, and obsessive-compulsive disorder in the subacute/maintenance phase during a 24-week period. Adult patients with the above-mentioned disorders were allocated to either a two-way video group (≥50% video sessions) or a face-to-face group (100% in-person sessions) and received standard treatment covered by public medical insurance. The primary outcome was the 36-Item Short-Form Health Survey Mental Component Summary (SF-36 MCS) score. Secondary outcomes included all-cause discontinuation, working alliance, adverse events, and the severity rating scales for each disorder.</w:t>
      </w:r>
    </w:p>
    <w:p w14:paraId="19166C81"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 xml:space="preserve">A total of 199 patients participated in this study. After 24 weeks of treatment, two-way video treatment was found to be noninferior to face-to-face treatment regarding SF-36 MCS score (48.50 vs 46.68, respectively; p &lt; 0.001). There were no significant differences between </w:t>
      </w:r>
      <w:r w:rsidRPr="00A211FC">
        <w:rPr>
          <w:rFonts w:asciiTheme="minorHAnsi" w:hAnsiTheme="minorHAnsi" w:cstheme="minorHAnsi"/>
          <w:color w:val="212121"/>
        </w:rPr>
        <w:lastRenderedPageBreak/>
        <w:t>the groups regarding most secondary end points, including all-cause discontinuation, treatment efficacy, and satisfaction.</w:t>
      </w:r>
    </w:p>
    <w:p w14:paraId="0C4D501B" w14:textId="77777777" w:rsidR="001C6C72" w:rsidRPr="00A211FC" w:rsidRDefault="001C6C72" w:rsidP="001C6C72">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 </w:t>
      </w:r>
      <w:r w:rsidRPr="00A211FC">
        <w:rPr>
          <w:rFonts w:asciiTheme="minorHAnsi" w:hAnsiTheme="minorHAnsi" w:cstheme="minorHAnsi"/>
          <w:color w:val="212121"/>
        </w:rPr>
        <w:t>Two-way video treatment using smartphones and other devices, was noninferior to face-to-face treatment in real-world clinical settings. Modern telemedicine, easily accessible from home, can be used as a form of health care.</w:t>
      </w:r>
    </w:p>
    <w:p w14:paraId="01755520" w14:textId="77777777" w:rsidR="00BD4DE6" w:rsidRPr="00A211FC" w:rsidRDefault="00BD4DE6" w:rsidP="00BD4DE6">
      <w:pPr>
        <w:pStyle w:val="Heading1"/>
        <w:shd w:val="clear" w:color="auto" w:fill="FFFFFF"/>
        <w:rPr>
          <w:rFonts w:cstheme="minorHAnsi"/>
          <w:color w:val="212121"/>
          <w:sz w:val="24"/>
          <w:szCs w:val="24"/>
        </w:rPr>
      </w:pPr>
      <w:bookmarkStart w:id="11" w:name="_Toc158045243"/>
      <w:r w:rsidRPr="00A211FC">
        <w:rPr>
          <w:rFonts w:cstheme="minorHAnsi"/>
          <w:color w:val="212121"/>
          <w:sz w:val="24"/>
          <w:szCs w:val="24"/>
        </w:rPr>
        <w:t>Psychotropic Drug-Related Weight Gain and Its Treatment</w:t>
      </w:r>
      <w:bookmarkEnd w:id="11"/>
    </w:p>
    <w:p w14:paraId="4E37AA79" w14:textId="77777777" w:rsidR="00A211FC" w:rsidRPr="00A211FC" w:rsidRDefault="00A211FC" w:rsidP="001C6C72">
      <w:pPr>
        <w:rPr>
          <w:rFonts w:cstheme="minorHAnsi"/>
          <w:color w:val="212121"/>
          <w:sz w:val="24"/>
          <w:szCs w:val="24"/>
          <w:shd w:val="clear" w:color="auto" w:fill="FFFFFF"/>
        </w:rPr>
      </w:pPr>
    </w:p>
    <w:p w14:paraId="49680314" w14:textId="50EDCF54" w:rsidR="001C6C72" w:rsidRPr="00A211FC" w:rsidRDefault="00BD4DE6"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McIntyre RS, Kwan ATH, Rosenblat JD, </w:t>
      </w:r>
      <w:proofErr w:type="spellStart"/>
      <w:r w:rsidRPr="00A211FC">
        <w:rPr>
          <w:rFonts w:cstheme="minorHAnsi"/>
          <w:color w:val="212121"/>
          <w:sz w:val="24"/>
          <w:szCs w:val="24"/>
          <w:shd w:val="clear" w:color="auto" w:fill="FFFFFF"/>
        </w:rPr>
        <w:t>Teopiz</w:t>
      </w:r>
      <w:proofErr w:type="spellEnd"/>
      <w:r w:rsidRPr="00A211FC">
        <w:rPr>
          <w:rFonts w:cstheme="minorHAnsi"/>
          <w:color w:val="212121"/>
          <w:sz w:val="24"/>
          <w:szCs w:val="24"/>
          <w:shd w:val="clear" w:color="auto" w:fill="FFFFFF"/>
        </w:rPr>
        <w:t xml:space="preserve"> KM, Mansur RB. Psychotropic Drug-Related Weight Gain and Its Treatment. Am J Psychiatry. 2024 Jan 1;181(1):26-38.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10.1176/appi.ajp.20230922. </w:t>
      </w:r>
      <w:hyperlink r:id="rId20" w:history="1">
        <w:r w:rsidRPr="00A211FC">
          <w:rPr>
            <w:rStyle w:val="Hyperlink"/>
            <w:rFonts w:cstheme="minorHAnsi"/>
            <w:sz w:val="24"/>
            <w:szCs w:val="24"/>
            <w:shd w:val="clear" w:color="auto" w:fill="FFFFFF"/>
          </w:rPr>
          <w:t>PMID: 38161305</w:t>
        </w:r>
      </w:hyperlink>
      <w:r w:rsidRPr="00A211FC">
        <w:rPr>
          <w:rFonts w:cstheme="minorHAnsi"/>
          <w:color w:val="212121"/>
          <w:sz w:val="24"/>
          <w:szCs w:val="24"/>
          <w:shd w:val="clear" w:color="auto" w:fill="FFFFFF"/>
        </w:rPr>
        <w:t>.</w:t>
      </w:r>
    </w:p>
    <w:p w14:paraId="1EA7148F" w14:textId="6EE5337A" w:rsidR="00BD4DE6" w:rsidRPr="00A211FC" w:rsidRDefault="00BD4DE6"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Psychotropic drug-related weight gain (PDWG) is a common occurrence and is highly associated with non-initiation, discontinuation, and dissatisfaction with psychiatric drugs. Moreover, PDWG intersects with the elevated risk for obesity and associated morbidity that has been amply reported in the psychiatric population. Evidence indicates that differential liability for PDWG exists for antipsychotics, antidepressants, and anticonvulsants. During the past two decades, agents within these classes have become available with significantly lower or no liability for PDWG and as such should be prioritized. Although lithium is associated with weight gain, the overall extent of weight gain is significantly lower than previously estimated. The benefit of lifestyle and behavioral modification for obesity and/or PDWG in psychiatric populations is established, with effectiveness </w:t>
      </w:r>
      <w:proofErr w:type="gramStart"/>
      <w:r w:rsidRPr="00A211FC">
        <w:rPr>
          <w:rFonts w:cstheme="minorHAnsi"/>
          <w:color w:val="212121"/>
          <w:sz w:val="24"/>
          <w:szCs w:val="24"/>
          <w:shd w:val="clear" w:color="auto" w:fill="FFFFFF"/>
        </w:rPr>
        <w:t>similar to</w:t>
      </w:r>
      <w:proofErr w:type="gramEnd"/>
      <w:r w:rsidRPr="00A211FC">
        <w:rPr>
          <w:rFonts w:cstheme="minorHAnsi"/>
          <w:color w:val="212121"/>
          <w:sz w:val="24"/>
          <w:szCs w:val="24"/>
          <w:shd w:val="clear" w:color="auto" w:fill="FFFFFF"/>
        </w:rPr>
        <w:t xml:space="preserve"> that in the general population. Metformin is the most studied pharmacological treatment in the prevention and treatment of PDWG, and promising data are emerging for glucagon-like peptide-1 (GLP-1) receptor agonists (e.g., liraglutide, exenatide, </w:t>
      </w:r>
      <w:proofErr w:type="spellStart"/>
      <w:r w:rsidRPr="00A211FC">
        <w:rPr>
          <w:rFonts w:cstheme="minorHAnsi"/>
          <w:color w:val="212121"/>
          <w:sz w:val="24"/>
          <w:szCs w:val="24"/>
          <w:shd w:val="clear" w:color="auto" w:fill="FFFFFF"/>
        </w:rPr>
        <w:t>semaglutide</w:t>
      </w:r>
      <w:proofErr w:type="spellEnd"/>
      <w:r w:rsidRPr="00A211FC">
        <w:rPr>
          <w:rFonts w:cstheme="minorHAnsi"/>
          <w:color w:val="212121"/>
          <w:sz w:val="24"/>
          <w:szCs w:val="24"/>
          <w:shd w:val="clear" w:color="auto" w:fill="FFFFFF"/>
        </w:rPr>
        <w:t xml:space="preserve">). Most pharmacologic antidotes for PDWG are supported with low-confidence data (e.g., topiramate, histamine-2 receptor antagonists). Future vistas for pharmacologic treatment for PDWG include large, adequately controlled studies with GLP-1 receptor agonists and possibly GLP-1/glucose-dependent insulinotropic polypeptide co-agonists (e.g., </w:t>
      </w:r>
      <w:proofErr w:type="spellStart"/>
      <w:r w:rsidRPr="00A211FC">
        <w:rPr>
          <w:rFonts w:cstheme="minorHAnsi"/>
          <w:color w:val="212121"/>
          <w:sz w:val="24"/>
          <w:szCs w:val="24"/>
          <w:shd w:val="clear" w:color="auto" w:fill="FFFFFF"/>
        </w:rPr>
        <w:t>tirzepatide</w:t>
      </w:r>
      <w:proofErr w:type="spellEnd"/>
      <w:r w:rsidRPr="00A211FC">
        <w:rPr>
          <w:rFonts w:cstheme="minorHAnsi"/>
          <w:color w:val="212121"/>
          <w:sz w:val="24"/>
          <w:szCs w:val="24"/>
          <w:shd w:val="clear" w:color="auto" w:fill="FFFFFF"/>
        </w:rPr>
        <w:t>) as well as specific dietary modifications.</w:t>
      </w:r>
    </w:p>
    <w:p w14:paraId="672449EF" w14:textId="77777777" w:rsidR="00A211FC" w:rsidRPr="00A211FC" w:rsidRDefault="00A211FC" w:rsidP="001C6C72">
      <w:pPr>
        <w:rPr>
          <w:rFonts w:cstheme="minorHAnsi"/>
          <w:color w:val="212121"/>
          <w:sz w:val="24"/>
          <w:szCs w:val="24"/>
          <w:shd w:val="clear" w:color="auto" w:fill="FFFFFF"/>
        </w:rPr>
      </w:pPr>
    </w:p>
    <w:p w14:paraId="4F0FB5EE" w14:textId="77777777" w:rsidR="000D0E5D" w:rsidRPr="00A211FC" w:rsidRDefault="000D0E5D" w:rsidP="000D0E5D">
      <w:pPr>
        <w:pStyle w:val="Heading1"/>
        <w:shd w:val="clear" w:color="auto" w:fill="FFFFFF"/>
        <w:rPr>
          <w:rFonts w:cstheme="minorHAnsi"/>
          <w:color w:val="212121"/>
          <w:sz w:val="24"/>
          <w:szCs w:val="24"/>
        </w:rPr>
      </w:pPr>
      <w:bookmarkStart w:id="12" w:name="_Toc158045244"/>
      <w:r w:rsidRPr="00A211FC">
        <w:rPr>
          <w:rFonts w:cstheme="minorHAnsi"/>
          <w:color w:val="212121"/>
          <w:sz w:val="24"/>
          <w:szCs w:val="24"/>
        </w:rPr>
        <w:t>The Impact of Childhood Mental Health and Substance Use on Methylation Aging Into Adulthood</w:t>
      </w:r>
      <w:bookmarkEnd w:id="12"/>
    </w:p>
    <w:p w14:paraId="67CA8837" w14:textId="77777777" w:rsidR="00A211FC" w:rsidRPr="00A211FC" w:rsidRDefault="00A211FC" w:rsidP="001C6C72">
      <w:pPr>
        <w:rPr>
          <w:rFonts w:cstheme="minorHAnsi"/>
          <w:color w:val="212121"/>
          <w:sz w:val="24"/>
          <w:szCs w:val="24"/>
          <w:shd w:val="clear" w:color="auto" w:fill="FFFFFF"/>
        </w:rPr>
      </w:pPr>
    </w:p>
    <w:p w14:paraId="6D435699" w14:textId="12FBFAA0" w:rsidR="00BD4DE6" w:rsidRPr="00A211FC" w:rsidRDefault="000D0E5D"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Clark SL, McGinnis EW, Zhao M, Xie L, Marks GT, Aberg KA, van den Oord EJCG, Copeland WE. The Impact of Childhood Mental Health and Substance Use on Methylation Aging </w:t>
      </w:r>
      <w:proofErr w:type="gramStart"/>
      <w:r w:rsidRPr="00A211FC">
        <w:rPr>
          <w:rFonts w:cstheme="minorHAnsi"/>
          <w:color w:val="212121"/>
          <w:sz w:val="24"/>
          <w:szCs w:val="24"/>
          <w:shd w:val="clear" w:color="auto" w:fill="FFFFFF"/>
        </w:rPr>
        <w:t>Into</w:t>
      </w:r>
      <w:proofErr w:type="gramEnd"/>
      <w:r w:rsidRPr="00A211FC">
        <w:rPr>
          <w:rFonts w:cstheme="minorHAnsi"/>
          <w:color w:val="212121"/>
          <w:sz w:val="24"/>
          <w:szCs w:val="24"/>
          <w:shd w:val="clear" w:color="auto" w:fill="FFFFFF"/>
        </w:rPr>
        <w:t xml:space="preserve"> Adulthood. J Am </w:t>
      </w:r>
      <w:proofErr w:type="spellStart"/>
      <w:r w:rsidRPr="00A211FC">
        <w:rPr>
          <w:rFonts w:cstheme="minorHAnsi"/>
          <w:color w:val="212121"/>
          <w:sz w:val="24"/>
          <w:szCs w:val="24"/>
          <w:shd w:val="clear" w:color="auto" w:fill="FFFFFF"/>
        </w:rPr>
        <w:t>Acad</w:t>
      </w:r>
      <w:proofErr w:type="spellEnd"/>
      <w:r w:rsidRPr="00A211FC">
        <w:rPr>
          <w:rFonts w:cstheme="minorHAnsi"/>
          <w:color w:val="212121"/>
          <w:sz w:val="24"/>
          <w:szCs w:val="24"/>
          <w:shd w:val="clear" w:color="auto" w:fill="FFFFFF"/>
        </w:rPr>
        <w:t xml:space="preserve"> Child </w:t>
      </w:r>
      <w:proofErr w:type="spellStart"/>
      <w:r w:rsidRPr="00A211FC">
        <w:rPr>
          <w:rFonts w:cstheme="minorHAnsi"/>
          <w:color w:val="212121"/>
          <w:sz w:val="24"/>
          <w:szCs w:val="24"/>
          <w:shd w:val="clear" w:color="auto" w:fill="FFFFFF"/>
        </w:rPr>
        <w:t>Adolesc</w:t>
      </w:r>
      <w:proofErr w:type="spellEnd"/>
      <w:r w:rsidRPr="00A211FC">
        <w:rPr>
          <w:rFonts w:cstheme="minorHAnsi"/>
          <w:color w:val="212121"/>
          <w:sz w:val="24"/>
          <w:szCs w:val="24"/>
          <w:shd w:val="clear" w:color="auto" w:fill="FFFFFF"/>
        </w:rPr>
        <w:t xml:space="preserve"> Psychiatry. 2023 Dec </w:t>
      </w:r>
      <w:proofErr w:type="gramStart"/>
      <w:r w:rsidRPr="00A211FC">
        <w:rPr>
          <w:rFonts w:cstheme="minorHAnsi"/>
          <w:color w:val="212121"/>
          <w:sz w:val="24"/>
          <w:szCs w:val="24"/>
          <w:shd w:val="clear" w:color="auto" w:fill="FFFFFF"/>
        </w:rPr>
        <w:t>27:S</w:t>
      </w:r>
      <w:proofErr w:type="gramEnd"/>
      <w:r w:rsidRPr="00A211FC">
        <w:rPr>
          <w:rFonts w:cstheme="minorHAnsi"/>
          <w:color w:val="212121"/>
          <w:sz w:val="24"/>
          <w:szCs w:val="24"/>
          <w:shd w:val="clear" w:color="auto" w:fill="FFFFFF"/>
        </w:rPr>
        <w:t xml:space="preserve">0890-8567(23)02266-9.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10.1016/j.jaac.2023.10.014.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21" w:history="1">
        <w:r w:rsidRPr="00A211FC">
          <w:rPr>
            <w:rStyle w:val="Hyperlink"/>
            <w:rFonts w:cstheme="minorHAnsi"/>
            <w:sz w:val="24"/>
            <w:szCs w:val="24"/>
            <w:shd w:val="clear" w:color="auto" w:fill="FFFFFF"/>
          </w:rPr>
          <w:t>PMID: 38157979</w:t>
        </w:r>
      </w:hyperlink>
      <w:r w:rsidRPr="00A211FC">
        <w:rPr>
          <w:rFonts w:cstheme="minorHAnsi"/>
          <w:color w:val="212121"/>
          <w:sz w:val="24"/>
          <w:szCs w:val="24"/>
          <w:shd w:val="clear" w:color="auto" w:fill="FFFFFF"/>
        </w:rPr>
        <w:t>.</w:t>
      </w:r>
    </w:p>
    <w:p w14:paraId="3330B38A"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lastRenderedPageBreak/>
        <w:t>Objective: </w:t>
      </w:r>
      <w:r w:rsidRPr="00A211FC">
        <w:rPr>
          <w:rFonts w:asciiTheme="minorHAnsi" w:hAnsiTheme="minorHAnsi" w:cstheme="minorHAnsi"/>
          <w:color w:val="212121"/>
        </w:rPr>
        <w:t>To test whether childhood mental health symptoms, substance use, and early adversity accelerate the rate of DNA methylation (</w:t>
      </w:r>
      <w:proofErr w:type="spellStart"/>
      <w:r w:rsidRPr="00A211FC">
        <w:rPr>
          <w:rFonts w:asciiTheme="minorHAnsi" w:hAnsiTheme="minorHAnsi" w:cstheme="minorHAnsi"/>
          <w:color w:val="212121"/>
        </w:rPr>
        <w:t>DNAm</w:t>
      </w:r>
      <w:proofErr w:type="spellEnd"/>
      <w:r w:rsidRPr="00A211FC">
        <w:rPr>
          <w:rFonts w:asciiTheme="minorHAnsi" w:hAnsiTheme="minorHAnsi" w:cstheme="minorHAnsi"/>
          <w:color w:val="212121"/>
        </w:rPr>
        <w:t>) aging from adolescence to adulthood.</w:t>
      </w:r>
    </w:p>
    <w:p w14:paraId="6E649590"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Method: </w:t>
      </w:r>
      <w:proofErr w:type="spellStart"/>
      <w:r w:rsidRPr="00A211FC">
        <w:rPr>
          <w:rFonts w:asciiTheme="minorHAnsi" w:hAnsiTheme="minorHAnsi" w:cstheme="minorHAnsi"/>
          <w:color w:val="212121"/>
        </w:rPr>
        <w:t>DNAm</w:t>
      </w:r>
      <w:proofErr w:type="spellEnd"/>
      <w:r w:rsidRPr="00A211FC">
        <w:rPr>
          <w:rFonts w:asciiTheme="minorHAnsi" w:hAnsiTheme="minorHAnsi" w:cstheme="minorHAnsi"/>
          <w:color w:val="212121"/>
        </w:rPr>
        <w:t xml:space="preserve"> was assayed from blood samples in 381 participants in both adolescence (mean [SD] age = 13.9 [1.6] years) and adulthood (mean [SD] age = 25.9 [2.7] years). Structured diagnostic interviews were completed with participants and their parents at multiple childhood observations (1,950 total) to assess symptoms of common mental health disorders (attention-deficit/hyperactivity disorder, oppositional defiant disorder, conduct disorder, anxiety, and depression) and common types of substance use (alcohol, cannabis, nicotine) and early adversities.</w:t>
      </w:r>
    </w:p>
    <w:p w14:paraId="23CAACC0"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 xml:space="preserve">Neither childhood mental health symptoms nor substance use variables were associated with </w:t>
      </w:r>
      <w:proofErr w:type="spellStart"/>
      <w:r w:rsidRPr="00A211FC">
        <w:rPr>
          <w:rFonts w:asciiTheme="minorHAnsi" w:hAnsiTheme="minorHAnsi" w:cstheme="minorHAnsi"/>
          <w:color w:val="212121"/>
        </w:rPr>
        <w:t>DNAm</w:t>
      </w:r>
      <w:proofErr w:type="spellEnd"/>
      <w:r w:rsidRPr="00A211FC">
        <w:rPr>
          <w:rFonts w:asciiTheme="minorHAnsi" w:hAnsiTheme="minorHAnsi" w:cstheme="minorHAnsi"/>
          <w:color w:val="212121"/>
        </w:rPr>
        <w:t xml:space="preserve"> aging cross-sectionally. In contrast, the following mental health symptoms and substance variables were associated with accelerated </w:t>
      </w:r>
      <w:proofErr w:type="spellStart"/>
      <w:r w:rsidRPr="00A211FC">
        <w:rPr>
          <w:rFonts w:asciiTheme="minorHAnsi" w:hAnsiTheme="minorHAnsi" w:cstheme="minorHAnsi"/>
          <w:color w:val="212121"/>
        </w:rPr>
        <w:t>DNAm</w:t>
      </w:r>
      <w:proofErr w:type="spellEnd"/>
      <w:r w:rsidRPr="00A211FC">
        <w:rPr>
          <w:rFonts w:asciiTheme="minorHAnsi" w:hAnsiTheme="minorHAnsi" w:cstheme="minorHAnsi"/>
          <w:color w:val="212121"/>
        </w:rPr>
        <w:t xml:space="preserve"> aging from adolescence to adulthood: depressive symptoms (b = 0.314, SE = 0.127, p = .014), internalizing symptoms (b = 0.108, SE = 0.049, p = .029), weekly cannabis use (b =1.665, SE = 0.591, p = .005), and years of weekly cannabis use (b = 0.718, SE = 0.283, p = .012). In models testing all individual variables simultaneously, the combined effect of the variables was equivalent to a potential difference of 3.17 to 3.76 years in </w:t>
      </w:r>
      <w:proofErr w:type="spellStart"/>
      <w:r w:rsidRPr="00A211FC">
        <w:rPr>
          <w:rFonts w:asciiTheme="minorHAnsi" w:hAnsiTheme="minorHAnsi" w:cstheme="minorHAnsi"/>
          <w:color w:val="212121"/>
        </w:rPr>
        <w:t>DNAm</w:t>
      </w:r>
      <w:proofErr w:type="spellEnd"/>
      <w:r w:rsidRPr="00A211FC">
        <w:rPr>
          <w:rFonts w:asciiTheme="minorHAnsi" w:hAnsiTheme="minorHAnsi" w:cstheme="minorHAnsi"/>
          <w:color w:val="212121"/>
        </w:rPr>
        <w:t xml:space="preserve"> aging. A final model tested a variable assessing cumulative exposure to mental health symptoms, substance use, and early adversities. This cumulative variable was strongly associated with accelerated aging (b = 0.126, SE = 0.044, p = .005).</w:t>
      </w:r>
    </w:p>
    <w:p w14:paraId="315209E8"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 </w:t>
      </w:r>
      <w:r w:rsidRPr="00A211FC">
        <w:rPr>
          <w:rFonts w:asciiTheme="minorHAnsi" w:hAnsiTheme="minorHAnsi" w:cstheme="minorHAnsi"/>
          <w:color w:val="212121"/>
        </w:rPr>
        <w:t xml:space="preserve">Mental health symptoms and substance use accelerated </w:t>
      </w:r>
      <w:proofErr w:type="spellStart"/>
      <w:r w:rsidRPr="00A211FC">
        <w:rPr>
          <w:rFonts w:asciiTheme="minorHAnsi" w:hAnsiTheme="minorHAnsi" w:cstheme="minorHAnsi"/>
          <w:color w:val="212121"/>
        </w:rPr>
        <w:t>DNAm</w:t>
      </w:r>
      <w:proofErr w:type="spellEnd"/>
      <w:r w:rsidRPr="00A211FC">
        <w:rPr>
          <w:rFonts w:asciiTheme="minorHAnsi" w:hAnsiTheme="minorHAnsi" w:cstheme="minorHAnsi"/>
          <w:color w:val="212121"/>
        </w:rPr>
        <w:t xml:space="preserve"> aging into adulthood in a manner consistent with a shared risk mechanism.</w:t>
      </w:r>
    </w:p>
    <w:p w14:paraId="49339DB2" w14:textId="77777777" w:rsidR="000D0E5D" w:rsidRPr="00A211FC" w:rsidRDefault="000D0E5D" w:rsidP="000D0E5D">
      <w:pPr>
        <w:pStyle w:val="Heading1"/>
        <w:shd w:val="clear" w:color="auto" w:fill="FFFFFF"/>
        <w:rPr>
          <w:rFonts w:cstheme="minorHAnsi"/>
          <w:color w:val="212121"/>
          <w:sz w:val="24"/>
          <w:szCs w:val="24"/>
        </w:rPr>
      </w:pPr>
      <w:bookmarkStart w:id="13" w:name="_Toc158045245"/>
      <w:r w:rsidRPr="00A211FC">
        <w:rPr>
          <w:rFonts w:cstheme="minorHAnsi"/>
          <w:color w:val="212121"/>
          <w:sz w:val="24"/>
          <w:szCs w:val="24"/>
        </w:rPr>
        <w:t>Incidence Trajectories of Psychiatric Disorders After Assault, Injury, and Bereavement</w:t>
      </w:r>
      <w:bookmarkEnd w:id="13"/>
    </w:p>
    <w:p w14:paraId="138F0038" w14:textId="77777777" w:rsidR="00A211FC" w:rsidRPr="00A211FC" w:rsidRDefault="00A211FC" w:rsidP="001C6C72">
      <w:pPr>
        <w:rPr>
          <w:rFonts w:cstheme="minorHAnsi"/>
          <w:color w:val="212121"/>
          <w:sz w:val="24"/>
          <w:szCs w:val="24"/>
          <w:shd w:val="clear" w:color="auto" w:fill="FFFFFF"/>
        </w:rPr>
      </w:pPr>
    </w:p>
    <w:p w14:paraId="128597FB" w14:textId="5FD899BE" w:rsidR="000D0E5D" w:rsidRPr="00A211FC" w:rsidRDefault="000D0E5D"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Chen Y, Shen Q, Lichtenstein P, Gradus JL, Arnberg FK, Larsson H, D'Onofrio BM, Fang F, Song H, Valdimarsdottir UA. Incidence Trajectories of Psychiatric Disorders After Assault, Injury, and Bereavement. JAMA Psychiatry. 2024 Jan </w:t>
      </w:r>
      <w:proofErr w:type="gramStart"/>
      <w:r w:rsidRPr="00A211FC">
        <w:rPr>
          <w:rFonts w:cstheme="minorHAnsi"/>
          <w:color w:val="212121"/>
          <w:sz w:val="24"/>
          <w:szCs w:val="24"/>
          <w:shd w:val="clear" w:color="auto" w:fill="FFFFFF"/>
        </w:rPr>
        <w:t>17:e</w:t>
      </w:r>
      <w:proofErr w:type="gramEnd"/>
      <w:r w:rsidRPr="00A211FC">
        <w:rPr>
          <w:rFonts w:cstheme="minorHAnsi"/>
          <w:color w:val="212121"/>
          <w:sz w:val="24"/>
          <w:szCs w:val="24"/>
          <w:shd w:val="clear" w:color="auto" w:fill="FFFFFF"/>
        </w:rPr>
        <w:t xml:space="preserve">235156.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10.1001/jamapsychiatry.2023.5156.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22" w:history="1">
        <w:r w:rsidRPr="00A211FC">
          <w:rPr>
            <w:rStyle w:val="Hyperlink"/>
            <w:rFonts w:cstheme="minorHAnsi"/>
            <w:sz w:val="24"/>
            <w:szCs w:val="24"/>
            <w:shd w:val="clear" w:color="auto" w:fill="FFFFFF"/>
          </w:rPr>
          <w:t>PMID: 38231519</w:t>
        </w:r>
      </w:hyperlink>
      <w:r w:rsidRPr="00A211FC">
        <w:rPr>
          <w:rFonts w:cstheme="minorHAnsi"/>
          <w:color w:val="212121"/>
          <w:sz w:val="24"/>
          <w:szCs w:val="24"/>
          <w:shd w:val="clear" w:color="auto" w:fill="FFFFFF"/>
        </w:rPr>
        <w:t>; PMCID: PMC10794980.</w:t>
      </w:r>
    </w:p>
    <w:p w14:paraId="1D559DE5"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Importance: </w:t>
      </w:r>
      <w:r w:rsidRPr="00A211FC">
        <w:rPr>
          <w:rFonts w:asciiTheme="minorHAnsi" w:hAnsiTheme="minorHAnsi" w:cstheme="minorHAnsi"/>
          <w:color w:val="212121"/>
        </w:rPr>
        <w:t>Traumatic events have been associated with elevated risks of psychiatric disorders, while the contributions of familial factors to these associations remain less clear.</w:t>
      </w:r>
    </w:p>
    <w:p w14:paraId="78971E73"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Objective: </w:t>
      </w:r>
      <w:r w:rsidRPr="00A211FC">
        <w:rPr>
          <w:rFonts w:asciiTheme="minorHAnsi" w:hAnsiTheme="minorHAnsi" w:cstheme="minorHAnsi"/>
          <w:color w:val="212121"/>
        </w:rPr>
        <w:t>To determine the contribution of familial factors to long-term incidence trajectories of psychiatric disorders following potentially traumatic events.</w:t>
      </w:r>
    </w:p>
    <w:p w14:paraId="58780DD3"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Design, setting, and participants: </w:t>
      </w:r>
      <w:r w:rsidRPr="00A211FC">
        <w:rPr>
          <w:rFonts w:asciiTheme="minorHAnsi" w:hAnsiTheme="minorHAnsi" w:cstheme="minorHAnsi"/>
          <w:color w:val="212121"/>
        </w:rPr>
        <w:t xml:space="preserve">This cohort study evaluated 3 separate cohorts of individuals residing in Sweden who were free of previous diagnosed psychiatric disorders when first </w:t>
      </w:r>
      <w:r w:rsidRPr="00A211FC">
        <w:rPr>
          <w:rFonts w:asciiTheme="minorHAnsi" w:hAnsiTheme="minorHAnsi" w:cstheme="minorHAnsi"/>
          <w:color w:val="212121"/>
        </w:rPr>
        <w:lastRenderedPageBreak/>
        <w:t>exposed to assault (n = 49 957), injury (n = 555 314), or bereavement (n = 321 263) from January 1987 to December 2013, together with their unexposed full siblings, and 10 age-, sex-, and birthplace-matched unexposed individuals (per exposed individual). Cohorts were created from the Swedish Total Population Register linked to health and population registers. Data were analyzed from March 2022 to April 2023.</w:t>
      </w:r>
    </w:p>
    <w:p w14:paraId="10B72ECC"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Exposures: </w:t>
      </w:r>
      <w:r w:rsidRPr="00A211FC">
        <w:rPr>
          <w:rFonts w:asciiTheme="minorHAnsi" w:hAnsiTheme="minorHAnsi" w:cstheme="minorHAnsi"/>
          <w:color w:val="212121"/>
        </w:rPr>
        <w:t>Potentially traumatic events, including various types of assault, injuries, and bereavement (death of a child or of a spouse or partner), were ascertained from the Swedish national registers.</w:t>
      </w:r>
    </w:p>
    <w:p w14:paraId="5E8B0519"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Main outcomes and measures: </w:t>
      </w:r>
      <w:r w:rsidRPr="00A211FC">
        <w:rPr>
          <w:rFonts w:asciiTheme="minorHAnsi" w:hAnsiTheme="minorHAnsi" w:cstheme="minorHAnsi"/>
          <w:color w:val="212121"/>
        </w:rPr>
        <w:t>Incident psychiatric disorders were ascertained from the Swedish Patient Register. Flexible parametric and Cox models were used to estimate associations of potentially traumatic events with incident psychiatric disorders after multivariable adjustment.</w:t>
      </w:r>
    </w:p>
    <w:p w14:paraId="164F8ABE"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The median (IQR) age at exposure to assault, injury, and bereavement was 22 (18-31), 19 (8-40), and 60 (51-68) years, respectively. During a median (IQR) follow-up of 4.9 (2.2-8.2), 9.1 (4.1-15.6), and 8.1 (3.4-14.8) years, the incidence rates of any psychiatric disorder were 38.1, 13.9, and 9.0 per 1000 person-years for the exposed groups of the 3 cohorts, respectively. Elevated risk of any psychiatric disorder was observed during the first year after exposure to any assault (hazard ratio [HR], 4.55; 95% CI, 4.34-4.77), injury (HR, 3.31; 95% CI,3.23-3.38), or bereavement (HR, 2.81; 95% CI, 2.72-2.91) and thereafter (assault HR, 2.50; 95% CI, 2.43-2.56; injury HR, 1.69; 95% CI, 1.68-1.70; bereavement HR, 1.42; 95% CI, 1.40-1.44). Comparable associations were obtained in sibling comparison (first year: assault HR, 3.70; 95% CI, 3.37-4.05; injury HR, 2.98; 95% CI, 2.85-3.12; bereavement HR, 2.72; 95% CI, 2.54-2.91; thereafter: assault HR, 1.93; 95% CI, 1.84-2.02; injury HR, 1.51; 95% CI, 1.48-1.53; bereavement HR, 1.35; 95% CI, 1.31-1.38). The risk elevation varied somewhat by type of traumatic events and psychiatric disorders, with the greatest HR noted for posttraumatic stress disorder after sexual assault (sibling comparison HR, 4.52; 95% CI, 3.56-5.73 during entire follow-up period).</w:t>
      </w:r>
    </w:p>
    <w:p w14:paraId="048A5BC4"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Conclusions and relevance: </w:t>
      </w:r>
      <w:r w:rsidRPr="00A211FC">
        <w:rPr>
          <w:rFonts w:asciiTheme="minorHAnsi" w:hAnsiTheme="minorHAnsi" w:cstheme="minorHAnsi"/>
          <w:color w:val="212121"/>
        </w:rPr>
        <w:t>In this study, the long-term risk elevation of psychiatric disorders after potentially traumatic events was largely independent of familial factors. The risk elevation observed immediately after these events motivates early clinical surveillance and mental health services for these vulnerable populations.</w:t>
      </w:r>
    </w:p>
    <w:p w14:paraId="0EBB0954" w14:textId="77777777" w:rsidR="000D0E5D" w:rsidRPr="00A211FC" w:rsidRDefault="000D0E5D" w:rsidP="000D0E5D">
      <w:pPr>
        <w:pStyle w:val="Heading1"/>
        <w:shd w:val="clear" w:color="auto" w:fill="FFFFFF"/>
        <w:rPr>
          <w:rFonts w:cstheme="minorHAnsi"/>
          <w:color w:val="212121"/>
          <w:sz w:val="24"/>
          <w:szCs w:val="24"/>
        </w:rPr>
      </w:pPr>
      <w:bookmarkStart w:id="14" w:name="_Toc158045246"/>
      <w:r w:rsidRPr="00A211FC">
        <w:rPr>
          <w:rFonts w:cstheme="minorHAnsi"/>
          <w:color w:val="212121"/>
          <w:sz w:val="24"/>
          <w:szCs w:val="24"/>
        </w:rPr>
        <w:t>Remission and Relapse Across Three Years in Pediatric Obsessive-Compulsive Disorder Following Evidence-Based Treatments</w:t>
      </w:r>
      <w:bookmarkEnd w:id="14"/>
    </w:p>
    <w:p w14:paraId="007E30DD" w14:textId="77777777" w:rsidR="00A211FC" w:rsidRPr="00A211FC" w:rsidRDefault="00A211FC" w:rsidP="001C6C72">
      <w:pPr>
        <w:rPr>
          <w:rFonts w:cstheme="minorHAnsi"/>
          <w:color w:val="212121"/>
          <w:sz w:val="24"/>
          <w:szCs w:val="24"/>
          <w:shd w:val="clear" w:color="auto" w:fill="FFFFFF"/>
        </w:rPr>
      </w:pPr>
    </w:p>
    <w:p w14:paraId="1707A549" w14:textId="700810EC" w:rsidR="000D0E5D" w:rsidRPr="00A211FC" w:rsidRDefault="000D0E5D"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Ivarsson T, Jensen S, Højgaard DRMA, Hybel KA, Torp NC, Melin K, Nissen JB, Weidle B, Thomsen PH, Dahl K, </w:t>
      </w:r>
      <w:proofErr w:type="spellStart"/>
      <w:r w:rsidRPr="00A211FC">
        <w:rPr>
          <w:rFonts w:cstheme="minorHAnsi"/>
          <w:color w:val="212121"/>
          <w:sz w:val="24"/>
          <w:szCs w:val="24"/>
          <w:shd w:val="clear" w:color="auto" w:fill="FFFFFF"/>
        </w:rPr>
        <w:t>Skarphedinsson</w:t>
      </w:r>
      <w:proofErr w:type="spellEnd"/>
      <w:r w:rsidRPr="00A211FC">
        <w:rPr>
          <w:rFonts w:cstheme="minorHAnsi"/>
          <w:color w:val="212121"/>
          <w:sz w:val="24"/>
          <w:szCs w:val="24"/>
          <w:shd w:val="clear" w:color="auto" w:fill="FFFFFF"/>
        </w:rPr>
        <w:t xml:space="preserve"> G. Remission and Relapse Across Three Years in Pediatric Obsessive-Compulsive Disorder Following Evidence-Based Treatments. J Am </w:t>
      </w:r>
      <w:proofErr w:type="spellStart"/>
      <w:r w:rsidRPr="00A211FC">
        <w:rPr>
          <w:rFonts w:cstheme="minorHAnsi"/>
          <w:color w:val="212121"/>
          <w:sz w:val="24"/>
          <w:szCs w:val="24"/>
          <w:shd w:val="clear" w:color="auto" w:fill="FFFFFF"/>
        </w:rPr>
        <w:t>Acad</w:t>
      </w:r>
      <w:proofErr w:type="spellEnd"/>
      <w:r w:rsidRPr="00A211FC">
        <w:rPr>
          <w:rFonts w:cstheme="minorHAnsi"/>
          <w:color w:val="212121"/>
          <w:sz w:val="24"/>
          <w:szCs w:val="24"/>
          <w:shd w:val="clear" w:color="auto" w:fill="FFFFFF"/>
        </w:rPr>
        <w:t xml:space="preserve"> Child </w:t>
      </w:r>
      <w:proofErr w:type="spellStart"/>
      <w:r w:rsidRPr="00A211FC">
        <w:rPr>
          <w:rFonts w:cstheme="minorHAnsi"/>
          <w:color w:val="212121"/>
          <w:sz w:val="24"/>
          <w:szCs w:val="24"/>
          <w:shd w:val="clear" w:color="auto" w:fill="FFFFFF"/>
        </w:rPr>
        <w:t>Adolesc</w:t>
      </w:r>
      <w:proofErr w:type="spellEnd"/>
      <w:r w:rsidRPr="00A211FC">
        <w:rPr>
          <w:rFonts w:cstheme="minorHAnsi"/>
          <w:color w:val="212121"/>
          <w:sz w:val="24"/>
          <w:szCs w:val="24"/>
          <w:shd w:val="clear" w:color="auto" w:fill="FFFFFF"/>
        </w:rPr>
        <w:t xml:space="preserve"> </w:t>
      </w:r>
      <w:r w:rsidRPr="00A211FC">
        <w:rPr>
          <w:rFonts w:cstheme="minorHAnsi"/>
          <w:color w:val="212121"/>
          <w:sz w:val="24"/>
          <w:szCs w:val="24"/>
          <w:shd w:val="clear" w:color="auto" w:fill="FFFFFF"/>
        </w:rPr>
        <w:lastRenderedPageBreak/>
        <w:t xml:space="preserve">Psychiatry. 2023 Dec </w:t>
      </w:r>
      <w:proofErr w:type="gramStart"/>
      <w:r w:rsidRPr="00A211FC">
        <w:rPr>
          <w:rFonts w:cstheme="minorHAnsi"/>
          <w:color w:val="212121"/>
          <w:sz w:val="24"/>
          <w:szCs w:val="24"/>
          <w:shd w:val="clear" w:color="auto" w:fill="FFFFFF"/>
        </w:rPr>
        <w:t>7:S</w:t>
      </w:r>
      <w:proofErr w:type="gramEnd"/>
      <w:r w:rsidRPr="00A211FC">
        <w:rPr>
          <w:rFonts w:cstheme="minorHAnsi"/>
          <w:color w:val="212121"/>
          <w:sz w:val="24"/>
          <w:szCs w:val="24"/>
          <w:shd w:val="clear" w:color="auto" w:fill="FFFFFF"/>
        </w:rPr>
        <w:t xml:space="preserve">0890-8567(23)02238-4.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10.1016/j.jaac.2023.09.548.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23" w:history="1">
        <w:r w:rsidRPr="00A211FC">
          <w:rPr>
            <w:rStyle w:val="Hyperlink"/>
            <w:rFonts w:cstheme="minorHAnsi"/>
            <w:sz w:val="24"/>
            <w:szCs w:val="24"/>
            <w:shd w:val="clear" w:color="auto" w:fill="FFFFFF"/>
          </w:rPr>
          <w:t>PMID: 38070870.</w:t>
        </w:r>
      </w:hyperlink>
    </w:p>
    <w:p w14:paraId="3EE86AC1" w14:textId="77777777" w:rsidR="000D0E5D" w:rsidRPr="00A211FC" w:rsidRDefault="000D0E5D" w:rsidP="000D0E5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Objective: </w:t>
      </w:r>
      <w:r w:rsidRPr="00A211FC">
        <w:rPr>
          <w:rFonts w:eastAsia="Times New Roman" w:cstheme="minorHAnsi"/>
          <w:color w:val="212121"/>
          <w:sz w:val="24"/>
          <w:szCs w:val="24"/>
        </w:rPr>
        <w:t>To examine relapse rates following remission in a 3-year follow-up study in pediatric patients with obsessive-compulsive disorder (OCD) treated with cognitive-behavioral therapy (CBT) in a first step, and either continued CBT or sertraline (randomized selection) in a second step.</w:t>
      </w:r>
    </w:p>
    <w:p w14:paraId="75544D32" w14:textId="77777777" w:rsidR="000D0E5D" w:rsidRPr="00A211FC" w:rsidRDefault="000D0E5D" w:rsidP="000D0E5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Method: </w:t>
      </w:r>
      <w:r w:rsidRPr="00A211FC">
        <w:rPr>
          <w:rFonts w:eastAsia="Times New Roman" w:cstheme="minorHAnsi"/>
          <w:color w:val="212121"/>
          <w:sz w:val="24"/>
          <w:szCs w:val="24"/>
        </w:rPr>
        <w:t xml:space="preserve">Participants (N = 269) fulfilled DSM-IV OCD criteria with a mean severity on the Children's Yale-Brown Obsessive Compulsive Scale (CY-BOCS) of 24.6 (SD = 5.1) and were included in analyses according to intent-to-treat principles. CBT used manualized exposure and response prevention (ERP) during both steps 1 and 2, and step 2 sertraline medication used flexible dosing. The follow-up schedules were timed to </w:t>
      </w:r>
      <w:proofErr w:type="gramStart"/>
      <w:r w:rsidRPr="00A211FC">
        <w:rPr>
          <w:rFonts w:eastAsia="Times New Roman" w:cstheme="minorHAnsi"/>
          <w:color w:val="212121"/>
          <w:sz w:val="24"/>
          <w:szCs w:val="24"/>
        </w:rPr>
        <w:t>6, 12, 24, and 36 months</w:t>
      </w:r>
      <w:proofErr w:type="gramEnd"/>
      <w:r w:rsidRPr="00A211FC">
        <w:rPr>
          <w:rFonts w:eastAsia="Times New Roman" w:cstheme="minorHAnsi"/>
          <w:color w:val="212121"/>
          <w:sz w:val="24"/>
          <w:szCs w:val="24"/>
        </w:rPr>
        <w:t xml:space="preserve"> following step 1 CBT. Remission was defined as a CY-BOCS score ≤10 and relapse as an elevated CY-BOCS score ≥16 in those who had remitted.</w:t>
      </w:r>
    </w:p>
    <w:p w14:paraId="3E226443" w14:textId="77777777" w:rsidR="000D0E5D" w:rsidRPr="00A211FC" w:rsidRDefault="000D0E5D" w:rsidP="000D0E5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Results: </w:t>
      </w:r>
      <w:r w:rsidRPr="00A211FC">
        <w:rPr>
          <w:rFonts w:eastAsia="Times New Roman" w:cstheme="minorHAnsi"/>
          <w:color w:val="212121"/>
          <w:sz w:val="24"/>
          <w:szCs w:val="24"/>
        </w:rPr>
        <w:t>A good third of our patients were in stable and full remission at all examinations (n = 98, 36.4%). Further, some in remission following treatment (n = 36, 13.4%) had mild OCD at some examinations. Relapses during follow-up were not uncommon (n = 28, 10.4%), but in many patients these improved again (n = 10, 3.7%) and were in remission at the final 3-year follow-up. Furthermore, a considerable proportion (n = 50, 18.6%) of the patients were initial non-remitters to the treatment but achieved remission at some point during the follow-up. In addition, 11.5% (n = 31) had persistent OCD but reached remission by the last follow-up. Finally, a smaller segment of our sample (9.7%, n = 26), did not attain remission at any point during the study.</w:t>
      </w:r>
    </w:p>
    <w:p w14:paraId="486D23CC" w14:textId="77777777" w:rsidR="000D0E5D" w:rsidRPr="00A211FC" w:rsidRDefault="000D0E5D" w:rsidP="000D0E5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Conclusion: </w:t>
      </w:r>
      <w:r w:rsidRPr="00A211FC">
        <w:rPr>
          <w:rFonts w:eastAsia="Times New Roman" w:cstheme="minorHAnsi"/>
          <w:color w:val="212121"/>
          <w:sz w:val="24"/>
          <w:szCs w:val="24"/>
        </w:rPr>
        <w:t>Our outcome paints a more promising picture of pediatric OCD long-term outcome than previous studies have done. However, both relapse rates and the presence of initial non-remitters and persistent OCD show that treatments need improvement, particularly for those who respond slowly, partially, or not at all. The lack of a general psychiatric interview at follow-up is a marked limitation.</w:t>
      </w:r>
    </w:p>
    <w:p w14:paraId="1E033190" w14:textId="77777777" w:rsidR="000D0E5D" w:rsidRPr="00A211FC" w:rsidRDefault="000D0E5D" w:rsidP="000D0E5D">
      <w:pPr>
        <w:spacing w:after="0" w:line="240" w:lineRule="auto"/>
        <w:rPr>
          <w:rFonts w:eastAsia="Times New Roman" w:cstheme="minorHAnsi"/>
          <w:sz w:val="24"/>
          <w:szCs w:val="24"/>
        </w:rPr>
      </w:pPr>
    </w:p>
    <w:p w14:paraId="352021C7" w14:textId="77777777" w:rsidR="000D0E5D" w:rsidRPr="00A211FC" w:rsidRDefault="000D0E5D" w:rsidP="000D0E5D">
      <w:pPr>
        <w:pStyle w:val="Heading1"/>
        <w:shd w:val="clear" w:color="auto" w:fill="FFFFFF"/>
        <w:rPr>
          <w:rFonts w:cstheme="minorHAnsi"/>
          <w:color w:val="212121"/>
          <w:sz w:val="24"/>
          <w:szCs w:val="24"/>
        </w:rPr>
      </w:pPr>
      <w:bookmarkStart w:id="15" w:name="_Toc158045247"/>
      <w:r w:rsidRPr="00A211FC">
        <w:rPr>
          <w:rFonts w:cstheme="minorHAnsi"/>
          <w:color w:val="212121"/>
          <w:sz w:val="24"/>
          <w:szCs w:val="24"/>
        </w:rPr>
        <w:t>Trends in Incident Prescriptions for Behavioral Health Medications in the US, 2018-2022</w:t>
      </w:r>
      <w:bookmarkEnd w:id="15"/>
    </w:p>
    <w:p w14:paraId="23A0AFCB" w14:textId="77777777" w:rsidR="00A211FC" w:rsidRPr="00A211FC" w:rsidRDefault="00A211FC" w:rsidP="001C6C72">
      <w:pPr>
        <w:rPr>
          <w:rFonts w:cstheme="minorHAnsi"/>
          <w:color w:val="212121"/>
          <w:sz w:val="24"/>
          <w:szCs w:val="24"/>
          <w:shd w:val="clear" w:color="auto" w:fill="FFFFFF"/>
        </w:rPr>
      </w:pPr>
    </w:p>
    <w:p w14:paraId="60DF8A79" w14:textId="04253CF8" w:rsidR="000D0E5D" w:rsidRPr="00A211FC" w:rsidRDefault="000D0E5D"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Chai G, Xu J, Goyal S, Woods C, Ho A, Song J, Dal Pan G. Trends in Incident Prescriptions for Behavioral Health Medications in the US, 2018-2022. JAMA Psychiatry. 2024 Jan </w:t>
      </w:r>
      <w:proofErr w:type="gramStart"/>
      <w:r w:rsidRPr="00A211FC">
        <w:rPr>
          <w:rFonts w:cstheme="minorHAnsi"/>
          <w:color w:val="212121"/>
          <w:sz w:val="24"/>
          <w:szCs w:val="24"/>
          <w:shd w:val="clear" w:color="auto" w:fill="FFFFFF"/>
        </w:rPr>
        <w:t>10:e</w:t>
      </w:r>
      <w:proofErr w:type="gramEnd"/>
      <w:r w:rsidRPr="00A211FC">
        <w:rPr>
          <w:rFonts w:cstheme="minorHAnsi"/>
          <w:color w:val="212121"/>
          <w:sz w:val="24"/>
          <w:szCs w:val="24"/>
          <w:shd w:val="clear" w:color="auto" w:fill="FFFFFF"/>
        </w:rPr>
        <w:t xml:space="preserve">235045.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10.1001/jamapsychiatry.2023.5045.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24" w:history="1">
        <w:r w:rsidRPr="00A211FC">
          <w:rPr>
            <w:rStyle w:val="Hyperlink"/>
            <w:rFonts w:cstheme="minorHAnsi"/>
            <w:sz w:val="24"/>
            <w:szCs w:val="24"/>
            <w:shd w:val="clear" w:color="auto" w:fill="FFFFFF"/>
          </w:rPr>
          <w:t>PMID: 38198145</w:t>
        </w:r>
      </w:hyperlink>
      <w:r w:rsidRPr="00A211FC">
        <w:rPr>
          <w:rFonts w:cstheme="minorHAnsi"/>
          <w:color w:val="212121"/>
          <w:sz w:val="24"/>
          <w:szCs w:val="24"/>
          <w:shd w:val="clear" w:color="auto" w:fill="FFFFFF"/>
        </w:rPr>
        <w:t>; PMCID: PMC10782382.</w:t>
      </w:r>
    </w:p>
    <w:p w14:paraId="56B2CEAA"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lastRenderedPageBreak/>
        <w:t>Importance: </w:t>
      </w:r>
      <w:r w:rsidRPr="00A211FC">
        <w:rPr>
          <w:rFonts w:asciiTheme="minorHAnsi" w:hAnsiTheme="minorHAnsi" w:cstheme="minorHAnsi"/>
          <w:color w:val="212121"/>
        </w:rPr>
        <w:t>The COVID-19 pandemic reportedly increased behavioral health needs and impacted treatment access.</w:t>
      </w:r>
    </w:p>
    <w:p w14:paraId="24AF2B06"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Objective: </w:t>
      </w:r>
      <w:r w:rsidRPr="00A211FC">
        <w:rPr>
          <w:rFonts w:asciiTheme="minorHAnsi" w:hAnsiTheme="minorHAnsi" w:cstheme="minorHAnsi"/>
          <w:color w:val="212121"/>
        </w:rPr>
        <w:t>To assess changes in incident prescriptions dispensed for medications commonly used to treat depression, anxiety, attention-deficit/hyperactivity disorder (ADHD), and opioid use disorder (OUD), before and during the COVID-19 pandemic.</w:t>
      </w:r>
    </w:p>
    <w:p w14:paraId="6F1241CB"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Design, setting, and participants: </w:t>
      </w:r>
      <w:r w:rsidRPr="00A211FC">
        <w:rPr>
          <w:rFonts w:asciiTheme="minorHAnsi" w:hAnsiTheme="minorHAnsi" w:cstheme="minorHAnsi"/>
          <w:color w:val="212121"/>
        </w:rPr>
        <w:t>This was a cross-sectional study using comprehensive, population-level, nationally projected data from IQVIA National Prescription Audit on incident prescriptions (prescriptions dispensed to patients with no prior dispensing from the same drug class in the previous 12 months) dispensed for antidepressants, benzodiazepines, Schedule II (C-II) stimulants, nonstimulant medications for ADHD, and buprenorphine-containing medication for OUD (MOUD), from US outpatient pharmacies. Data were analyzed from April 2018 to March 2022.</w:t>
      </w:r>
    </w:p>
    <w:p w14:paraId="2A7306ED"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Exposure: </w:t>
      </w:r>
      <w:r w:rsidRPr="00A211FC">
        <w:rPr>
          <w:rFonts w:asciiTheme="minorHAnsi" w:hAnsiTheme="minorHAnsi" w:cstheme="minorHAnsi"/>
          <w:color w:val="212121"/>
        </w:rPr>
        <w:t>Incident prescriptions by drug class (by prescriber specialty, patient age, and sex) and drug.</w:t>
      </w:r>
    </w:p>
    <w:p w14:paraId="19DD8772"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Main outcomes and measures: </w:t>
      </w:r>
      <w:r w:rsidRPr="00A211FC">
        <w:rPr>
          <w:rFonts w:asciiTheme="minorHAnsi" w:hAnsiTheme="minorHAnsi" w:cstheme="minorHAnsi"/>
          <w:color w:val="212121"/>
        </w:rPr>
        <w:t>Interrupted time-series analysis to compare changes in trends in the monthly incident prescriptions dispensed by drug class and percentage changes in aggregate incident prescriptions dispensed between April 2018 and March 2022.</w:t>
      </w:r>
    </w:p>
    <w:p w14:paraId="62A1CF9E"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 xml:space="preserve">Incident prescriptions dispensed for the 5 drug classes changed from 51 500 321 before the COVID-19 pandemic to 54 000 169 during the pandemic. The largest unadjusted percentage increase in incident prescriptions by prescriber specialty was among nurse practitioners across all drug classes ranging from 7% (from 1 811 376 to 1 944 852; benzodiazepines) to 78% (from 157 578 to 280 925; buprenorphine MOUD), whereas for patient age and sex, the largest increases were within C-II stimulants and nonstimulant ADHD drugs among patients aged 20 to 39 years (30% [from 1 887 017 to 2 455 706] and 81% [from 255 053 to 461 017], respectively) and female patients (25% [from 2 352 095 to 2 942 604] and 59% [from 395 678 to 630 678], respectively). Trends for C-II stimulants and nonstimulant ADHD drugs (slope change: 4007 prescriptions per month; 95% CI, 1592-6422 and 1120 prescriptions per month; 95% CI, 706-1533, respectively) significantly changed during the pandemic, exceeding </w:t>
      </w:r>
      <w:proofErr w:type="spellStart"/>
      <w:r w:rsidRPr="00A211FC">
        <w:rPr>
          <w:rFonts w:asciiTheme="minorHAnsi" w:hAnsiTheme="minorHAnsi" w:cstheme="minorHAnsi"/>
          <w:color w:val="212121"/>
        </w:rPr>
        <w:t>prepandemic</w:t>
      </w:r>
      <w:proofErr w:type="spellEnd"/>
      <w:r w:rsidRPr="00A211FC">
        <w:rPr>
          <w:rFonts w:asciiTheme="minorHAnsi" w:hAnsiTheme="minorHAnsi" w:cstheme="minorHAnsi"/>
          <w:color w:val="212121"/>
        </w:rPr>
        <w:t xml:space="preserve"> trends after an initial drop at the onset of the pandemic (level changes: -50 044 prescriptions; 95% CI, -80 202 to -19 886 and -12 876 prescriptions; 95% CI, -17 756 to -7996, respectively). Although buprenorphine MOUD dropped significantly (level change: -2915 prescriptions; 95% CI, -5513 to -318), trends did not significantly change for buprenorphine MOUD, antidepressants, or benzodiazepines.</w:t>
      </w:r>
    </w:p>
    <w:p w14:paraId="74A6CADE" w14:textId="77777777" w:rsidR="000D0E5D" w:rsidRPr="00A211FC" w:rsidRDefault="000D0E5D" w:rsidP="000D0E5D">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Conclusions and relevance: </w:t>
      </w:r>
      <w:r w:rsidRPr="00A211FC">
        <w:rPr>
          <w:rFonts w:asciiTheme="minorHAnsi" w:hAnsiTheme="minorHAnsi" w:cstheme="minorHAnsi"/>
          <w:color w:val="212121"/>
        </w:rPr>
        <w:t>Incident use of many behavioral health medications remained relatively stable during the COVID-19 pandemic in the US, whereas ADHD medications, notably C-II stimulants, sharply increased. Additional research is needed to differentiate increases due to unmet need vs overprescribing, highlighting the need for further ADHD guideline development to define treatment appropriateness.</w:t>
      </w:r>
    </w:p>
    <w:p w14:paraId="002690F9" w14:textId="77777777" w:rsidR="001C5A2D" w:rsidRPr="00A211FC" w:rsidRDefault="001C5A2D" w:rsidP="001C5A2D">
      <w:pPr>
        <w:pStyle w:val="Heading1"/>
        <w:shd w:val="clear" w:color="auto" w:fill="FFFFFF"/>
        <w:rPr>
          <w:rFonts w:cstheme="minorHAnsi"/>
          <w:color w:val="212121"/>
          <w:sz w:val="24"/>
          <w:szCs w:val="24"/>
        </w:rPr>
      </w:pPr>
      <w:bookmarkStart w:id="16" w:name="_Toc158045248"/>
      <w:r w:rsidRPr="00A211FC">
        <w:rPr>
          <w:rFonts w:cstheme="minorHAnsi"/>
          <w:color w:val="212121"/>
          <w:sz w:val="24"/>
          <w:szCs w:val="24"/>
        </w:rPr>
        <w:lastRenderedPageBreak/>
        <w:t>Single-Dose Synthetic Psilocybin With Psychotherapy for Treatment-Resistant Bipolar Type II Major Depressive Episodes: A Nonrandomized Controlled Trial</w:t>
      </w:r>
      <w:bookmarkEnd w:id="16"/>
    </w:p>
    <w:p w14:paraId="0CA5DD94" w14:textId="77777777" w:rsidR="00A211FC" w:rsidRPr="00A211FC" w:rsidRDefault="00A211FC" w:rsidP="001C6C72">
      <w:pPr>
        <w:rPr>
          <w:rFonts w:cstheme="minorHAnsi"/>
          <w:color w:val="212121"/>
          <w:sz w:val="24"/>
          <w:szCs w:val="24"/>
          <w:shd w:val="clear" w:color="auto" w:fill="FFFFFF"/>
        </w:rPr>
      </w:pPr>
    </w:p>
    <w:p w14:paraId="0DAF7729" w14:textId="6684B879" w:rsidR="000D0E5D" w:rsidRPr="00A211FC" w:rsidRDefault="001C5A2D" w:rsidP="001C6C72">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Aaronson ST, van der </w:t>
      </w:r>
      <w:proofErr w:type="spellStart"/>
      <w:r w:rsidRPr="00A211FC">
        <w:rPr>
          <w:rFonts w:cstheme="minorHAnsi"/>
          <w:color w:val="212121"/>
          <w:sz w:val="24"/>
          <w:szCs w:val="24"/>
          <w:shd w:val="clear" w:color="auto" w:fill="FFFFFF"/>
        </w:rPr>
        <w:t>Vaart</w:t>
      </w:r>
      <w:proofErr w:type="spellEnd"/>
      <w:r w:rsidRPr="00A211FC">
        <w:rPr>
          <w:rFonts w:cstheme="minorHAnsi"/>
          <w:color w:val="212121"/>
          <w:sz w:val="24"/>
          <w:szCs w:val="24"/>
          <w:shd w:val="clear" w:color="auto" w:fill="FFFFFF"/>
        </w:rPr>
        <w:t xml:space="preserve"> A, Miller T, LaPratt J, Swartz K, Shoultz A, Lauterbach M, </w:t>
      </w:r>
      <w:proofErr w:type="spellStart"/>
      <w:r w:rsidRPr="00A211FC">
        <w:rPr>
          <w:rFonts w:cstheme="minorHAnsi"/>
          <w:color w:val="212121"/>
          <w:sz w:val="24"/>
          <w:szCs w:val="24"/>
          <w:shd w:val="clear" w:color="auto" w:fill="FFFFFF"/>
        </w:rPr>
        <w:t>Sackeim</w:t>
      </w:r>
      <w:proofErr w:type="spellEnd"/>
      <w:r w:rsidRPr="00A211FC">
        <w:rPr>
          <w:rFonts w:cstheme="minorHAnsi"/>
          <w:color w:val="212121"/>
          <w:sz w:val="24"/>
          <w:szCs w:val="24"/>
          <w:shd w:val="clear" w:color="auto" w:fill="FFFFFF"/>
        </w:rPr>
        <w:t xml:space="preserve"> HA, Suppes T. Single-Dose Synthetic Psilocybin </w:t>
      </w:r>
      <w:proofErr w:type="gramStart"/>
      <w:r w:rsidRPr="00A211FC">
        <w:rPr>
          <w:rFonts w:cstheme="minorHAnsi"/>
          <w:color w:val="212121"/>
          <w:sz w:val="24"/>
          <w:szCs w:val="24"/>
          <w:shd w:val="clear" w:color="auto" w:fill="FFFFFF"/>
        </w:rPr>
        <w:t>With</w:t>
      </w:r>
      <w:proofErr w:type="gramEnd"/>
      <w:r w:rsidRPr="00A211FC">
        <w:rPr>
          <w:rFonts w:cstheme="minorHAnsi"/>
          <w:color w:val="212121"/>
          <w:sz w:val="24"/>
          <w:szCs w:val="24"/>
          <w:shd w:val="clear" w:color="auto" w:fill="FFFFFF"/>
        </w:rPr>
        <w:t xml:space="preserve"> Psychotherapy for Treatment-Resistant Bipolar Type II Major Depressive Episodes: A Nonrandomized Controlled Trial. JAMA Psychiatry. 2023 Dec </w:t>
      </w:r>
      <w:proofErr w:type="gramStart"/>
      <w:r w:rsidRPr="00A211FC">
        <w:rPr>
          <w:rFonts w:cstheme="minorHAnsi"/>
          <w:color w:val="212121"/>
          <w:sz w:val="24"/>
          <w:szCs w:val="24"/>
          <w:shd w:val="clear" w:color="auto" w:fill="FFFFFF"/>
        </w:rPr>
        <w:t>6:e</w:t>
      </w:r>
      <w:proofErr w:type="gramEnd"/>
      <w:r w:rsidRPr="00A211FC">
        <w:rPr>
          <w:rFonts w:cstheme="minorHAnsi"/>
          <w:color w:val="212121"/>
          <w:sz w:val="24"/>
          <w:szCs w:val="24"/>
          <w:shd w:val="clear" w:color="auto" w:fill="FFFFFF"/>
        </w:rPr>
        <w:t xml:space="preserve">234685.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10.1001/jamapsychiatry.2023.4685.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25" w:history="1">
        <w:r w:rsidRPr="00A211FC">
          <w:rPr>
            <w:rStyle w:val="Hyperlink"/>
            <w:rFonts w:cstheme="minorHAnsi"/>
            <w:sz w:val="24"/>
            <w:szCs w:val="24"/>
            <w:shd w:val="clear" w:color="auto" w:fill="FFFFFF"/>
          </w:rPr>
          <w:t>PMID: 38055270</w:t>
        </w:r>
      </w:hyperlink>
      <w:r w:rsidRPr="00A211FC">
        <w:rPr>
          <w:rFonts w:cstheme="minorHAnsi"/>
          <w:color w:val="212121"/>
          <w:sz w:val="24"/>
          <w:szCs w:val="24"/>
          <w:shd w:val="clear" w:color="auto" w:fill="FFFFFF"/>
        </w:rPr>
        <w:t>; PMCID: PMC10701666.</w:t>
      </w:r>
    </w:p>
    <w:p w14:paraId="15854E94" w14:textId="77777777" w:rsidR="001C5A2D" w:rsidRPr="00A211FC" w:rsidRDefault="001C5A2D" w:rsidP="001C5A2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Importance: </w:t>
      </w:r>
      <w:r w:rsidRPr="00A211FC">
        <w:rPr>
          <w:rFonts w:eastAsia="Times New Roman" w:cstheme="minorHAnsi"/>
          <w:color w:val="212121"/>
          <w:sz w:val="24"/>
          <w:szCs w:val="24"/>
        </w:rPr>
        <w:t>Bipolar II disorder (BDII) is a debilitating condition frequently associated with difficult-to-treat depressive episodes. Psilocybin has evidence for rapid-acting antidepressant effects but has not been investigated in bipolar depression.</w:t>
      </w:r>
    </w:p>
    <w:p w14:paraId="3624464E" w14:textId="77777777" w:rsidR="001C5A2D" w:rsidRPr="00A211FC" w:rsidRDefault="001C5A2D" w:rsidP="001C5A2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Objective: </w:t>
      </w:r>
      <w:r w:rsidRPr="00A211FC">
        <w:rPr>
          <w:rFonts w:eastAsia="Times New Roman" w:cstheme="minorHAnsi"/>
          <w:color w:val="212121"/>
          <w:sz w:val="24"/>
          <w:szCs w:val="24"/>
        </w:rPr>
        <w:t>To establish the safety and efficacy of psilocybin in patients with BDII in a current depressive episode.</w:t>
      </w:r>
    </w:p>
    <w:p w14:paraId="28A9DD34" w14:textId="77777777" w:rsidR="001C5A2D" w:rsidRPr="00A211FC" w:rsidRDefault="001C5A2D" w:rsidP="001C5A2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Design, setting, and participants: </w:t>
      </w:r>
      <w:r w:rsidRPr="00A211FC">
        <w:rPr>
          <w:rFonts w:eastAsia="Times New Roman" w:cstheme="minorHAnsi"/>
          <w:color w:val="212121"/>
          <w:sz w:val="24"/>
          <w:szCs w:val="24"/>
        </w:rPr>
        <w:t>This was a 12-week, open-label nonrandomized controlled trial conducted at Sheppard Pratt Hospital. Participants aged 18 to 65 years with BDII, a current depressive episode longer than 3 months, and documented insufficient benefit with at least 2 pharmacologic treatments during the current episode were invited to participate. Of 70 approached, 19 met inclusion criteria and were enrolled. The trial was conducted between April 14, 2021, and January 5, 2023.</w:t>
      </w:r>
    </w:p>
    <w:p w14:paraId="1797D694" w14:textId="77777777" w:rsidR="001C5A2D" w:rsidRPr="00A211FC" w:rsidRDefault="001C5A2D" w:rsidP="001C5A2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Interventions: </w:t>
      </w:r>
      <w:r w:rsidRPr="00A211FC">
        <w:rPr>
          <w:rFonts w:eastAsia="Times New Roman" w:cstheme="minorHAnsi"/>
          <w:color w:val="212121"/>
          <w:sz w:val="24"/>
          <w:szCs w:val="24"/>
        </w:rPr>
        <w:t>A single dose of synthetic psilocybin, 25 mg, was administered. Psychotropic medications were discontinued at least 2 weeks prior to dosing. Therapists met with patients for 3 sessions during pretreatment, during the 8-hour dosing day, and for 3 integration sessions posttreatment.</w:t>
      </w:r>
    </w:p>
    <w:p w14:paraId="370FB891" w14:textId="77777777" w:rsidR="001C5A2D" w:rsidRPr="00A211FC" w:rsidRDefault="001C5A2D" w:rsidP="001C5A2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Main outcomes and measures: </w:t>
      </w:r>
      <w:r w:rsidRPr="00A211FC">
        <w:rPr>
          <w:rFonts w:eastAsia="Times New Roman" w:cstheme="minorHAnsi"/>
          <w:color w:val="212121"/>
          <w:sz w:val="24"/>
          <w:szCs w:val="24"/>
        </w:rPr>
        <w:t>The primary outcome measure was change in Montgomery-</w:t>
      </w:r>
      <w:proofErr w:type="spellStart"/>
      <w:r w:rsidRPr="00A211FC">
        <w:rPr>
          <w:rFonts w:eastAsia="Times New Roman" w:cstheme="minorHAnsi"/>
          <w:color w:val="212121"/>
          <w:sz w:val="24"/>
          <w:szCs w:val="24"/>
        </w:rPr>
        <w:t>Åsberg</w:t>
      </w:r>
      <w:proofErr w:type="spellEnd"/>
      <w:r w:rsidRPr="00A211FC">
        <w:rPr>
          <w:rFonts w:eastAsia="Times New Roman" w:cstheme="minorHAnsi"/>
          <w:color w:val="212121"/>
          <w:sz w:val="24"/>
          <w:szCs w:val="24"/>
        </w:rPr>
        <w:t xml:space="preserve"> Depression Rating scale (MADRS) at 3 weeks posttreatment. Secondary measures included MADRS scores 12 weeks posttreatment, the self-rated Quick Inventory of Depression Symptoms-Self Rating (QIDS-SR), and the self-rated Quality of Life Enjoyment and Satisfaction Questionnaire-Short Form (Q-LES-Q-SF), each completed at baseline and all subsequent visits. Safety measures included the Columbia Suicide Severity Rating Scale (CSSRS) and the Young Mania Rating Scale (YMRS) completed at each visit.</w:t>
      </w:r>
    </w:p>
    <w:p w14:paraId="7128737B" w14:textId="77777777" w:rsidR="001C5A2D" w:rsidRPr="00A211FC" w:rsidRDefault="001C5A2D" w:rsidP="001C5A2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Results: </w:t>
      </w:r>
      <w:r w:rsidRPr="00A211FC">
        <w:rPr>
          <w:rFonts w:eastAsia="Times New Roman" w:cstheme="minorHAnsi"/>
          <w:color w:val="212121"/>
          <w:sz w:val="24"/>
          <w:szCs w:val="24"/>
        </w:rPr>
        <w:t xml:space="preserve">Of the 15 participants in this study (6 male and 9 </w:t>
      </w:r>
      <w:proofErr w:type="gramStart"/>
      <w:r w:rsidRPr="00A211FC">
        <w:rPr>
          <w:rFonts w:eastAsia="Times New Roman" w:cstheme="minorHAnsi"/>
          <w:color w:val="212121"/>
          <w:sz w:val="24"/>
          <w:szCs w:val="24"/>
        </w:rPr>
        <w:t>female</w:t>
      </w:r>
      <w:proofErr w:type="gramEnd"/>
      <w:r w:rsidRPr="00A211FC">
        <w:rPr>
          <w:rFonts w:eastAsia="Times New Roman" w:cstheme="minorHAnsi"/>
          <w:color w:val="212121"/>
          <w:sz w:val="24"/>
          <w:szCs w:val="24"/>
        </w:rPr>
        <w:t xml:space="preserve">; mean [SD] age, 37.8 [11.6] years), all had lower scores at week 3, with a mean (SD) change of -24.00 (9.23) points on the MADRS, (Cohen d = 4.08; 95% CI, -29.11 to -18.89; P &lt; .001). Repeat measures analysis of variance showed lower MADRS scores at all tested posttreatment time points, including the end point (Cohen d = 3.39; 95% CI, -33.19 to -16.95; adjusted P &lt; .001). At week 3, 12 participants </w:t>
      </w:r>
      <w:r w:rsidRPr="00A211FC">
        <w:rPr>
          <w:rFonts w:eastAsia="Times New Roman" w:cstheme="minorHAnsi"/>
          <w:color w:val="212121"/>
          <w:sz w:val="24"/>
          <w:szCs w:val="24"/>
        </w:rPr>
        <w:lastRenderedPageBreak/>
        <w:t>met the response criterion (50% decrease in MADRS), and 11 met remission criterion (MADRS score ≤10). At the study end point, 12 patients met both response and remission criteria. QIDS-SR scores and Q-LES-Q-SF scores demonstrated similar improvements. YMRS and CSSRS scores did not change significantly at posttreatment compared to baseline.</w:t>
      </w:r>
    </w:p>
    <w:p w14:paraId="37E32999" w14:textId="77777777" w:rsidR="001C5A2D" w:rsidRPr="00A211FC" w:rsidRDefault="001C5A2D" w:rsidP="001C5A2D">
      <w:pPr>
        <w:shd w:val="clear" w:color="auto" w:fill="FFFFFF"/>
        <w:spacing w:before="100" w:beforeAutospacing="1" w:after="100" w:afterAutospacing="1" w:line="240" w:lineRule="auto"/>
        <w:rPr>
          <w:rFonts w:eastAsia="Times New Roman" w:cstheme="minorHAnsi"/>
          <w:color w:val="212121"/>
          <w:sz w:val="24"/>
          <w:szCs w:val="24"/>
        </w:rPr>
      </w:pPr>
      <w:r w:rsidRPr="00A211FC">
        <w:rPr>
          <w:rFonts w:eastAsia="Times New Roman" w:cstheme="minorHAnsi"/>
          <w:b/>
          <w:bCs/>
          <w:color w:val="212121"/>
          <w:sz w:val="24"/>
          <w:szCs w:val="24"/>
        </w:rPr>
        <w:t>Conclusions and relevance: </w:t>
      </w:r>
      <w:r w:rsidRPr="00A211FC">
        <w:rPr>
          <w:rFonts w:eastAsia="Times New Roman" w:cstheme="minorHAnsi"/>
          <w:color w:val="212121"/>
          <w:sz w:val="24"/>
          <w:szCs w:val="24"/>
        </w:rPr>
        <w:t>The findings in this open-label nonrandomized controlled trial suggest efficacy and safety of psilocybin with psychotherapy in BDII depression and supports further study of psychedelics in this population.</w:t>
      </w:r>
    </w:p>
    <w:p w14:paraId="20BFAC6C" w14:textId="77777777" w:rsidR="001C5A2D" w:rsidRPr="00A211FC" w:rsidRDefault="001C5A2D" w:rsidP="001C5A2D">
      <w:pPr>
        <w:spacing w:after="0" w:line="240" w:lineRule="auto"/>
        <w:rPr>
          <w:rFonts w:eastAsia="Times New Roman" w:cstheme="minorHAnsi"/>
          <w:sz w:val="24"/>
          <w:szCs w:val="24"/>
        </w:rPr>
      </w:pPr>
    </w:p>
    <w:p w14:paraId="1F512629" w14:textId="77777777" w:rsidR="001C5A2D" w:rsidRPr="00A211FC" w:rsidRDefault="001C5A2D" w:rsidP="001C6C72">
      <w:pPr>
        <w:rPr>
          <w:rFonts w:cstheme="minorHAnsi"/>
          <w:color w:val="212121"/>
          <w:sz w:val="24"/>
          <w:szCs w:val="24"/>
          <w:shd w:val="clear" w:color="auto" w:fill="FFFFFF"/>
        </w:rPr>
      </w:pPr>
    </w:p>
    <w:p w14:paraId="2EA4E471" w14:textId="33E9E65A" w:rsidR="00FF2BF2" w:rsidRPr="00A211FC" w:rsidRDefault="00CE6E05" w:rsidP="006C0895">
      <w:pPr>
        <w:pStyle w:val="Heading2"/>
        <w:rPr>
          <w:rStyle w:val="Heading1Char"/>
          <w:rFonts w:asciiTheme="minorHAnsi" w:hAnsiTheme="minorHAnsi" w:cstheme="minorHAnsi"/>
          <w:sz w:val="24"/>
          <w:szCs w:val="24"/>
        </w:rPr>
      </w:pPr>
      <w:bookmarkStart w:id="17" w:name="_Toc158045249"/>
      <w:r w:rsidRPr="00A211FC">
        <w:rPr>
          <w:rStyle w:val="Heading1Char"/>
          <w:rFonts w:asciiTheme="minorHAnsi" w:hAnsiTheme="minorHAnsi" w:cstheme="minorHAnsi"/>
          <w:sz w:val="24"/>
          <w:szCs w:val="24"/>
        </w:rPr>
        <w:t>clinical reviews</w:t>
      </w:r>
      <w:bookmarkEnd w:id="17"/>
    </w:p>
    <w:p w14:paraId="2CD816C6" w14:textId="77777777" w:rsidR="00CE6E05" w:rsidRPr="00A211FC" w:rsidRDefault="00CE6E05" w:rsidP="00CE6E05">
      <w:pPr>
        <w:rPr>
          <w:rFonts w:cstheme="minorHAnsi"/>
          <w:sz w:val="24"/>
          <w:szCs w:val="24"/>
        </w:rPr>
      </w:pPr>
    </w:p>
    <w:p w14:paraId="629056B7" w14:textId="77777777" w:rsidR="00174B4F" w:rsidRPr="00C90895" w:rsidRDefault="00174B4F" w:rsidP="00174B4F">
      <w:pPr>
        <w:pStyle w:val="Heading1"/>
        <w:shd w:val="clear" w:color="auto" w:fill="FFFFFF"/>
        <w:rPr>
          <w:rFonts w:cstheme="minorHAnsi"/>
          <w:color w:val="212121"/>
          <w:sz w:val="24"/>
          <w:szCs w:val="24"/>
        </w:rPr>
      </w:pPr>
      <w:bookmarkStart w:id="18" w:name="_Toc158045250"/>
      <w:r w:rsidRPr="00C90895">
        <w:rPr>
          <w:rFonts w:cstheme="minorHAnsi"/>
          <w:color w:val="212121"/>
          <w:sz w:val="24"/>
          <w:szCs w:val="24"/>
        </w:rPr>
        <w:t>Psychosis superspectrum I: Nosology, etiology, and lifespan development</w:t>
      </w:r>
      <w:bookmarkEnd w:id="18"/>
    </w:p>
    <w:p w14:paraId="565B9E05" w14:textId="77777777" w:rsidR="00174B4F" w:rsidRPr="00A211FC" w:rsidRDefault="00174B4F" w:rsidP="00174B4F">
      <w:pPr>
        <w:pStyle w:val="Heading2"/>
        <w:rPr>
          <w:rFonts w:asciiTheme="minorHAnsi" w:hAnsiTheme="minorHAnsi" w:cstheme="minorHAnsi"/>
          <w:color w:val="212121"/>
          <w:sz w:val="24"/>
          <w:szCs w:val="24"/>
          <w:shd w:val="clear" w:color="auto" w:fill="FFFFFF"/>
        </w:rPr>
      </w:pPr>
    </w:p>
    <w:p w14:paraId="13CA031B" w14:textId="77777777" w:rsidR="00174B4F" w:rsidRPr="00A211FC" w:rsidRDefault="00174B4F" w:rsidP="00174B4F">
      <w:pPr>
        <w:rPr>
          <w:rFonts w:cstheme="minorHAnsi"/>
          <w:sz w:val="24"/>
          <w:szCs w:val="24"/>
          <w:shd w:val="clear" w:color="auto" w:fill="FFFFFF"/>
        </w:rPr>
      </w:pPr>
      <w:r w:rsidRPr="00A211FC">
        <w:rPr>
          <w:rFonts w:cstheme="minorHAnsi"/>
          <w:sz w:val="24"/>
          <w:szCs w:val="24"/>
          <w:shd w:val="clear" w:color="auto" w:fill="FFFFFF"/>
        </w:rPr>
        <w:t xml:space="preserve">Jonas KG, Cannon TD, Docherty AR, Dwyer D, Gur RC, Gur RE, Nelson B, </w:t>
      </w:r>
      <w:proofErr w:type="spellStart"/>
      <w:r w:rsidRPr="00A211FC">
        <w:rPr>
          <w:rFonts w:cstheme="minorHAnsi"/>
          <w:sz w:val="24"/>
          <w:szCs w:val="24"/>
          <w:shd w:val="clear" w:color="auto" w:fill="FFFFFF"/>
        </w:rPr>
        <w:t>Reininghaus</w:t>
      </w:r>
      <w:proofErr w:type="spellEnd"/>
      <w:r w:rsidRPr="00A211FC">
        <w:rPr>
          <w:rFonts w:cstheme="minorHAnsi"/>
          <w:sz w:val="24"/>
          <w:szCs w:val="24"/>
          <w:shd w:val="clear" w:color="auto" w:fill="FFFFFF"/>
        </w:rPr>
        <w:t xml:space="preserve"> U, Kotov R. Psychosis </w:t>
      </w:r>
      <w:proofErr w:type="spellStart"/>
      <w:r w:rsidRPr="00A211FC">
        <w:rPr>
          <w:rFonts w:cstheme="minorHAnsi"/>
          <w:sz w:val="24"/>
          <w:szCs w:val="24"/>
          <w:shd w:val="clear" w:color="auto" w:fill="FFFFFF"/>
        </w:rPr>
        <w:t>superspectrum</w:t>
      </w:r>
      <w:proofErr w:type="spellEnd"/>
      <w:r w:rsidRPr="00A211FC">
        <w:rPr>
          <w:rFonts w:cstheme="minorHAnsi"/>
          <w:sz w:val="24"/>
          <w:szCs w:val="24"/>
          <w:shd w:val="clear" w:color="auto" w:fill="FFFFFF"/>
        </w:rPr>
        <w:t xml:space="preserve"> I: Nosology, etiology, and lifespan development. Mol Psychiatry. 2024 Jan 10. </w:t>
      </w:r>
      <w:proofErr w:type="spellStart"/>
      <w:r w:rsidRPr="00A211FC">
        <w:rPr>
          <w:rFonts w:cstheme="minorHAnsi"/>
          <w:sz w:val="24"/>
          <w:szCs w:val="24"/>
          <w:shd w:val="clear" w:color="auto" w:fill="FFFFFF"/>
        </w:rPr>
        <w:t>doi</w:t>
      </w:r>
      <w:proofErr w:type="spellEnd"/>
      <w:r w:rsidRPr="00A211FC">
        <w:rPr>
          <w:rFonts w:cstheme="minorHAnsi"/>
          <w:sz w:val="24"/>
          <w:szCs w:val="24"/>
          <w:shd w:val="clear" w:color="auto" w:fill="FFFFFF"/>
        </w:rPr>
        <w:t xml:space="preserve">: 10.1038/s41380-023-02388-2. </w:t>
      </w:r>
      <w:proofErr w:type="spellStart"/>
      <w:r w:rsidRPr="00A211FC">
        <w:rPr>
          <w:rFonts w:cstheme="minorHAnsi"/>
          <w:sz w:val="24"/>
          <w:szCs w:val="24"/>
          <w:shd w:val="clear" w:color="auto" w:fill="FFFFFF"/>
        </w:rPr>
        <w:t>Epub</w:t>
      </w:r>
      <w:proofErr w:type="spellEnd"/>
      <w:r w:rsidRPr="00A211FC">
        <w:rPr>
          <w:rFonts w:cstheme="minorHAnsi"/>
          <w:sz w:val="24"/>
          <w:szCs w:val="24"/>
          <w:shd w:val="clear" w:color="auto" w:fill="FFFFFF"/>
        </w:rPr>
        <w:t xml:space="preserve"> ahead of print. </w:t>
      </w:r>
      <w:hyperlink r:id="rId26" w:history="1">
        <w:r w:rsidRPr="00A211FC">
          <w:rPr>
            <w:rStyle w:val="Hyperlink"/>
            <w:rFonts w:cstheme="minorHAnsi"/>
            <w:sz w:val="24"/>
            <w:szCs w:val="24"/>
            <w:shd w:val="clear" w:color="auto" w:fill="FFFFFF"/>
          </w:rPr>
          <w:t>PMID: 38200290</w:t>
        </w:r>
      </w:hyperlink>
      <w:r w:rsidRPr="00A211FC">
        <w:rPr>
          <w:rFonts w:cstheme="minorHAnsi"/>
          <w:sz w:val="24"/>
          <w:szCs w:val="24"/>
          <w:shd w:val="clear" w:color="auto" w:fill="FFFFFF"/>
        </w:rPr>
        <w:t>.</w:t>
      </w:r>
    </w:p>
    <w:p w14:paraId="47E5DBC1" w14:textId="77777777" w:rsidR="00174B4F" w:rsidRPr="00A211FC" w:rsidRDefault="00174B4F" w:rsidP="00174B4F">
      <w:pPr>
        <w:rPr>
          <w:rFonts w:cstheme="minorHAnsi"/>
          <w:color w:val="212121"/>
          <w:sz w:val="24"/>
          <w:szCs w:val="24"/>
          <w:shd w:val="clear" w:color="auto" w:fill="FFFFFF"/>
        </w:rPr>
      </w:pPr>
      <w:r w:rsidRPr="00A211FC">
        <w:rPr>
          <w:rFonts w:cstheme="minorHAnsi"/>
          <w:color w:val="212121"/>
          <w:sz w:val="24"/>
          <w:szCs w:val="24"/>
          <w:shd w:val="clear" w:color="auto" w:fill="FFFFFF"/>
        </w:rPr>
        <w:t>This review describes the Hierarchical Taxonomy of Psychopathology (</w:t>
      </w:r>
      <w:proofErr w:type="spellStart"/>
      <w:r w:rsidRPr="00A211FC">
        <w:rPr>
          <w:rFonts w:cstheme="minorHAnsi"/>
          <w:color w:val="212121"/>
          <w:sz w:val="24"/>
          <w:szCs w:val="24"/>
          <w:shd w:val="clear" w:color="auto" w:fill="FFFFFF"/>
        </w:rPr>
        <w:t>HiTOP</w:t>
      </w:r>
      <w:proofErr w:type="spellEnd"/>
      <w:r w:rsidRPr="00A211FC">
        <w:rPr>
          <w:rFonts w:cstheme="minorHAnsi"/>
          <w:color w:val="212121"/>
          <w:sz w:val="24"/>
          <w:szCs w:val="24"/>
          <w:shd w:val="clear" w:color="auto" w:fill="FFFFFF"/>
        </w:rPr>
        <w:t xml:space="preserve">) model of psychosis-related psychopathology, the psychosis </w:t>
      </w:r>
      <w:proofErr w:type="spellStart"/>
      <w:r w:rsidRPr="00A211FC">
        <w:rPr>
          <w:rFonts w:cstheme="minorHAnsi"/>
          <w:color w:val="212121"/>
          <w:sz w:val="24"/>
          <w:szCs w:val="24"/>
          <w:shd w:val="clear" w:color="auto" w:fill="FFFFFF"/>
        </w:rPr>
        <w:t>superspectrum</w:t>
      </w:r>
      <w:proofErr w:type="spellEnd"/>
      <w:r w:rsidRPr="00A211FC">
        <w:rPr>
          <w:rFonts w:cstheme="minorHAnsi"/>
          <w:color w:val="212121"/>
          <w:sz w:val="24"/>
          <w:szCs w:val="24"/>
          <w:shd w:val="clear" w:color="auto" w:fill="FFFFFF"/>
        </w:rPr>
        <w:t xml:space="preserve">. The </w:t>
      </w:r>
      <w:proofErr w:type="spellStart"/>
      <w:r w:rsidRPr="00A211FC">
        <w:rPr>
          <w:rFonts w:cstheme="minorHAnsi"/>
          <w:color w:val="212121"/>
          <w:sz w:val="24"/>
          <w:szCs w:val="24"/>
          <w:shd w:val="clear" w:color="auto" w:fill="FFFFFF"/>
        </w:rPr>
        <w:t>HiTOP</w:t>
      </w:r>
      <w:proofErr w:type="spellEnd"/>
      <w:r w:rsidRPr="00A211FC">
        <w:rPr>
          <w:rFonts w:cstheme="minorHAnsi"/>
          <w:color w:val="212121"/>
          <w:sz w:val="24"/>
          <w:szCs w:val="24"/>
          <w:shd w:val="clear" w:color="auto" w:fill="FFFFFF"/>
        </w:rPr>
        <w:t xml:space="preserve"> psychosis </w:t>
      </w:r>
      <w:proofErr w:type="spellStart"/>
      <w:r w:rsidRPr="00A211FC">
        <w:rPr>
          <w:rFonts w:cstheme="minorHAnsi"/>
          <w:color w:val="212121"/>
          <w:sz w:val="24"/>
          <w:szCs w:val="24"/>
          <w:shd w:val="clear" w:color="auto" w:fill="FFFFFF"/>
        </w:rPr>
        <w:t>superspectrum</w:t>
      </w:r>
      <w:proofErr w:type="spellEnd"/>
      <w:r w:rsidRPr="00A211FC">
        <w:rPr>
          <w:rFonts w:cstheme="minorHAnsi"/>
          <w:color w:val="212121"/>
          <w:sz w:val="24"/>
          <w:szCs w:val="24"/>
          <w:shd w:val="clear" w:color="auto" w:fill="FFFFFF"/>
        </w:rPr>
        <w:t xml:space="preserve"> was developed to address shortcomings of traditional diagnoses for psychotic disorders and related conditions including low reliability, arbitrary boundaries between psychopathology and normality, high symptom co-occurrence, and heterogeneity within diagnostic categories. The psychosis </w:t>
      </w:r>
      <w:proofErr w:type="spellStart"/>
      <w:r w:rsidRPr="00A211FC">
        <w:rPr>
          <w:rFonts w:cstheme="minorHAnsi"/>
          <w:color w:val="212121"/>
          <w:sz w:val="24"/>
          <w:szCs w:val="24"/>
          <w:shd w:val="clear" w:color="auto" w:fill="FFFFFF"/>
        </w:rPr>
        <w:t>superspectrum</w:t>
      </w:r>
      <w:proofErr w:type="spellEnd"/>
      <w:r w:rsidRPr="00A211FC">
        <w:rPr>
          <w:rFonts w:cstheme="minorHAnsi"/>
          <w:color w:val="212121"/>
          <w:sz w:val="24"/>
          <w:szCs w:val="24"/>
          <w:shd w:val="clear" w:color="auto" w:fill="FFFFFF"/>
        </w:rPr>
        <w:t xml:space="preserve"> is a transdiagnostic dimensional model comprising two spectra-psychoticism and detachment-which are in turn broken down into fourteen narrow components, and two auxiliary domains-cognition and functional impairment. The structure of the spectra and their components are shown to parallel the genetic structure of psychosis and related traits. Psychoticism and detachment have distinct patterns of association with urbanicity, migrant and ethnic minority status, childhood adversity, and cannabis use. The </w:t>
      </w:r>
      <w:proofErr w:type="spellStart"/>
      <w:r w:rsidRPr="00A211FC">
        <w:rPr>
          <w:rFonts w:cstheme="minorHAnsi"/>
          <w:color w:val="212121"/>
          <w:sz w:val="24"/>
          <w:szCs w:val="24"/>
          <w:shd w:val="clear" w:color="auto" w:fill="FFFFFF"/>
        </w:rPr>
        <w:t>superspectrum</w:t>
      </w:r>
      <w:proofErr w:type="spellEnd"/>
      <w:r w:rsidRPr="00A211FC">
        <w:rPr>
          <w:rFonts w:cstheme="minorHAnsi"/>
          <w:color w:val="212121"/>
          <w:sz w:val="24"/>
          <w:szCs w:val="24"/>
          <w:shd w:val="clear" w:color="auto" w:fill="FFFFFF"/>
        </w:rPr>
        <w:t xml:space="preserve"> also provides a useful model for describing the emergence and course of psychosis, as components of the </w:t>
      </w:r>
      <w:proofErr w:type="spellStart"/>
      <w:r w:rsidRPr="00A211FC">
        <w:rPr>
          <w:rFonts w:cstheme="minorHAnsi"/>
          <w:color w:val="212121"/>
          <w:sz w:val="24"/>
          <w:szCs w:val="24"/>
          <w:shd w:val="clear" w:color="auto" w:fill="FFFFFF"/>
        </w:rPr>
        <w:t>superspectrum</w:t>
      </w:r>
      <w:proofErr w:type="spellEnd"/>
      <w:r w:rsidRPr="00A211FC">
        <w:rPr>
          <w:rFonts w:cstheme="minorHAnsi"/>
          <w:color w:val="212121"/>
          <w:sz w:val="24"/>
          <w:szCs w:val="24"/>
          <w:shd w:val="clear" w:color="auto" w:fill="FFFFFF"/>
        </w:rPr>
        <w:t xml:space="preserve"> are relatively stable over time. Changes in psychoticism predict the onset of psychosis-related psychopathology, whereas changes in detachment and cognition define later course. Implications of the </w:t>
      </w:r>
      <w:proofErr w:type="spellStart"/>
      <w:r w:rsidRPr="00A211FC">
        <w:rPr>
          <w:rFonts w:cstheme="minorHAnsi"/>
          <w:color w:val="212121"/>
          <w:sz w:val="24"/>
          <w:szCs w:val="24"/>
          <w:shd w:val="clear" w:color="auto" w:fill="FFFFFF"/>
        </w:rPr>
        <w:t>superspectrum</w:t>
      </w:r>
      <w:proofErr w:type="spellEnd"/>
      <w:r w:rsidRPr="00A211FC">
        <w:rPr>
          <w:rFonts w:cstheme="minorHAnsi"/>
          <w:color w:val="212121"/>
          <w:sz w:val="24"/>
          <w:szCs w:val="24"/>
          <w:shd w:val="clear" w:color="auto" w:fill="FFFFFF"/>
        </w:rPr>
        <w:t xml:space="preserve"> for genetic, socio-environmental, and longitudinal research are discussed. A companion review focuses on neurobiology, treatment response, and clinical utility of the </w:t>
      </w:r>
      <w:proofErr w:type="spellStart"/>
      <w:r w:rsidRPr="00A211FC">
        <w:rPr>
          <w:rFonts w:cstheme="minorHAnsi"/>
          <w:color w:val="212121"/>
          <w:sz w:val="24"/>
          <w:szCs w:val="24"/>
          <w:shd w:val="clear" w:color="auto" w:fill="FFFFFF"/>
        </w:rPr>
        <w:t>superspectrum</w:t>
      </w:r>
      <w:proofErr w:type="spellEnd"/>
      <w:r w:rsidRPr="00A211FC">
        <w:rPr>
          <w:rFonts w:cstheme="minorHAnsi"/>
          <w:color w:val="212121"/>
          <w:sz w:val="24"/>
          <w:szCs w:val="24"/>
          <w:shd w:val="clear" w:color="auto" w:fill="FFFFFF"/>
        </w:rPr>
        <w:t>, and future research directions.</w:t>
      </w:r>
    </w:p>
    <w:p w14:paraId="2A5BA7A2" w14:textId="77777777" w:rsidR="00174B4F" w:rsidRPr="00A211FC" w:rsidRDefault="00174B4F" w:rsidP="00174B4F">
      <w:pPr>
        <w:rPr>
          <w:rFonts w:cstheme="minorHAnsi"/>
          <w:color w:val="212121"/>
          <w:sz w:val="24"/>
          <w:szCs w:val="24"/>
          <w:shd w:val="clear" w:color="auto" w:fill="FFFFFF"/>
        </w:rPr>
      </w:pPr>
    </w:p>
    <w:p w14:paraId="7052DEF7" w14:textId="77777777" w:rsidR="00174B4F" w:rsidRPr="00A211FC" w:rsidRDefault="00174B4F" w:rsidP="00174B4F">
      <w:pPr>
        <w:pStyle w:val="Heading1"/>
        <w:shd w:val="clear" w:color="auto" w:fill="FFFFFF"/>
        <w:rPr>
          <w:rFonts w:cstheme="minorHAnsi"/>
          <w:color w:val="212121"/>
          <w:sz w:val="24"/>
          <w:szCs w:val="24"/>
        </w:rPr>
      </w:pPr>
      <w:bookmarkStart w:id="19" w:name="_Toc158045251"/>
      <w:r w:rsidRPr="00A211FC">
        <w:rPr>
          <w:rFonts w:cstheme="minorHAnsi"/>
          <w:color w:val="212121"/>
          <w:sz w:val="24"/>
          <w:szCs w:val="24"/>
        </w:rPr>
        <w:lastRenderedPageBreak/>
        <w:t>Components and Delivery Formats of Cognitive Behavioral Therapy for Chronic Insomnia in Adults: A Systematic Review and Component Network Meta-Analysis</w:t>
      </w:r>
      <w:bookmarkEnd w:id="19"/>
    </w:p>
    <w:p w14:paraId="3640A31D" w14:textId="77777777" w:rsidR="00174B4F" w:rsidRPr="00A211FC" w:rsidRDefault="00174B4F" w:rsidP="00174B4F">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Furukawa Y, Sakata M, Yamamoto R, Nakajima S, Kikuchi S, Inoue M, Ito M, Noma H, </w:t>
      </w:r>
      <w:proofErr w:type="spellStart"/>
      <w:r w:rsidRPr="00A211FC">
        <w:rPr>
          <w:rFonts w:cstheme="minorHAnsi"/>
          <w:color w:val="212121"/>
          <w:sz w:val="24"/>
          <w:szCs w:val="24"/>
          <w:shd w:val="clear" w:color="auto" w:fill="FFFFFF"/>
        </w:rPr>
        <w:t>Takashina</w:t>
      </w:r>
      <w:proofErr w:type="spellEnd"/>
      <w:r w:rsidRPr="00A211FC">
        <w:rPr>
          <w:rFonts w:cstheme="minorHAnsi"/>
          <w:color w:val="212121"/>
          <w:sz w:val="24"/>
          <w:szCs w:val="24"/>
          <w:shd w:val="clear" w:color="auto" w:fill="FFFFFF"/>
        </w:rPr>
        <w:t xml:space="preserve"> HN, </w:t>
      </w:r>
      <w:proofErr w:type="spellStart"/>
      <w:r w:rsidRPr="00A211FC">
        <w:rPr>
          <w:rFonts w:cstheme="minorHAnsi"/>
          <w:color w:val="212121"/>
          <w:sz w:val="24"/>
          <w:szCs w:val="24"/>
          <w:shd w:val="clear" w:color="auto" w:fill="FFFFFF"/>
        </w:rPr>
        <w:t>Funada</w:t>
      </w:r>
      <w:proofErr w:type="spellEnd"/>
      <w:r w:rsidRPr="00A211FC">
        <w:rPr>
          <w:rFonts w:cstheme="minorHAnsi"/>
          <w:color w:val="212121"/>
          <w:sz w:val="24"/>
          <w:szCs w:val="24"/>
          <w:shd w:val="clear" w:color="auto" w:fill="FFFFFF"/>
        </w:rPr>
        <w:t xml:space="preserve"> S, </w:t>
      </w:r>
      <w:proofErr w:type="spellStart"/>
      <w:r w:rsidRPr="00A211FC">
        <w:rPr>
          <w:rFonts w:cstheme="minorHAnsi"/>
          <w:color w:val="212121"/>
          <w:sz w:val="24"/>
          <w:szCs w:val="24"/>
          <w:shd w:val="clear" w:color="auto" w:fill="FFFFFF"/>
        </w:rPr>
        <w:t>Ostinelli</w:t>
      </w:r>
      <w:proofErr w:type="spellEnd"/>
      <w:r w:rsidRPr="00A211FC">
        <w:rPr>
          <w:rFonts w:cstheme="minorHAnsi"/>
          <w:color w:val="212121"/>
          <w:sz w:val="24"/>
          <w:szCs w:val="24"/>
          <w:shd w:val="clear" w:color="auto" w:fill="FFFFFF"/>
        </w:rPr>
        <w:t xml:space="preserve"> EG, Furukawa TA, Efthimiou O, Perlis M. Components and Delivery Formats of Cognitive Behavioral Therapy for Chronic Insomnia in Adults: A Systematic Review and Component Network Meta-Analysis. JAMA Psychiatry. 2024 Jan </w:t>
      </w:r>
      <w:proofErr w:type="gramStart"/>
      <w:r w:rsidRPr="00A211FC">
        <w:rPr>
          <w:rFonts w:cstheme="minorHAnsi"/>
          <w:color w:val="212121"/>
          <w:sz w:val="24"/>
          <w:szCs w:val="24"/>
          <w:shd w:val="clear" w:color="auto" w:fill="FFFFFF"/>
        </w:rPr>
        <w:t>17:e</w:t>
      </w:r>
      <w:proofErr w:type="gramEnd"/>
      <w:r w:rsidRPr="00A211FC">
        <w:rPr>
          <w:rFonts w:cstheme="minorHAnsi"/>
          <w:color w:val="212121"/>
          <w:sz w:val="24"/>
          <w:szCs w:val="24"/>
          <w:shd w:val="clear" w:color="auto" w:fill="FFFFFF"/>
        </w:rPr>
        <w:t xml:space="preserve">235060.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10.1001/jamapsychiatry.2023.5060.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27" w:history="1">
        <w:r w:rsidRPr="00A211FC">
          <w:rPr>
            <w:rStyle w:val="Hyperlink"/>
            <w:rFonts w:cstheme="minorHAnsi"/>
            <w:sz w:val="24"/>
            <w:szCs w:val="24"/>
            <w:shd w:val="clear" w:color="auto" w:fill="FFFFFF"/>
          </w:rPr>
          <w:t>PMID: 38231522</w:t>
        </w:r>
      </w:hyperlink>
      <w:r w:rsidRPr="00A211FC">
        <w:rPr>
          <w:rFonts w:cstheme="minorHAnsi"/>
          <w:color w:val="212121"/>
          <w:sz w:val="24"/>
          <w:szCs w:val="24"/>
          <w:shd w:val="clear" w:color="auto" w:fill="FFFFFF"/>
        </w:rPr>
        <w:t>; PMCID: PMC10794978.</w:t>
      </w:r>
    </w:p>
    <w:p w14:paraId="68BE7343"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Importance: </w:t>
      </w:r>
      <w:r w:rsidRPr="00A211FC">
        <w:rPr>
          <w:rFonts w:asciiTheme="minorHAnsi" w:hAnsiTheme="minorHAnsi" w:cstheme="minorHAnsi"/>
          <w:color w:val="212121"/>
        </w:rPr>
        <w:t>Chronic insomnia disorder is highly prevalent, disabling, and costly. Cognitive behavioral therapy for insomnia (CBT-I), comprising various educational, cognitive, and behavioral strategies delivered in various formats, is the recommended first-line treatment, but the effect of each component and delivery method remains unclear.</w:t>
      </w:r>
    </w:p>
    <w:p w14:paraId="6D58C879"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Objective: </w:t>
      </w:r>
      <w:r w:rsidRPr="00A211FC">
        <w:rPr>
          <w:rFonts w:asciiTheme="minorHAnsi" w:hAnsiTheme="minorHAnsi" w:cstheme="minorHAnsi"/>
          <w:color w:val="212121"/>
        </w:rPr>
        <w:t>To examine the association of each component and delivery format of CBT-I with outcomes.</w:t>
      </w:r>
    </w:p>
    <w:p w14:paraId="020FC2D2"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Data sources: </w:t>
      </w:r>
      <w:r w:rsidRPr="00A211FC">
        <w:rPr>
          <w:rFonts w:asciiTheme="minorHAnsi" w:hAnsiTheme="minorHAnsi" w:cstheme="minorHAnsi"/>
          <w:color w:val="212121"/>
        </w:rPr>
        <w:t xml:space="preserve">PubMed, Cochrane Central Register of Controlled Trials, </w:t>
      </w:r>
      <w:proofErr w:type="spellStart"/>
      <w:r w:rsidRPr="00A211FC">
        <w:rPr>
          <w:rFonts w:asciiTheme="minorHAnsi" w:hAnsiTheme="minorHAnsi" w:cstheme="minorHAnsi"/>
          <w:color w:val="212121"/>
        </w:rPr>
        <w:t>PsycInfo</w:t>
      </w:r>
      <w:proofErr w:type="spellEnd"/>
      <w:r w:rsidRPr="00A211FC">
        <w:rPr>
          <w:rFonts w:asciiTheme="minorHAnsi" w:hAnsiTheme="minorHAnsi" w:cstheme="minorHAnsi"/>
          <w:color w:val="212121"/>
        </w:rPr>
        <w:t>, and International Clinical Trials Registry Platform from database inception to July 21, 2023.</w:t>
      </w:r>
    </w:p>
    <w:p w14:paraId="31B1A551"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Study selection: </w:t>
      </w:r>
      <w:r w:rsidRPr="00A211FC">
        <w:rPr>
          <w:rFonts w:asciiTheme="minorHAnsi" w:hAnsiTheme="minorHAnsi" w:cstheme="minorHAnsi"/>
          <w:color w:val="212121"/>
        </w:rPr>
        <w:t>Published randomized clinical trials comparing any form of CBT-I against another or a control condition for chronic insomnia disorder in adults aged 18 years and older. Insomnia both with and without comorbidities was included. Concomitant treatments were allowed if equally distributed among arms.</w:t>
      </w:r>
    </w:p>
    <w:p w14:paraId="071FE2A8"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Data extraction and synthesis: </w:t>
      </w:r>
      <w:r w:rsidRPr="00A211FC">
        <w:rPr>
          <w:rFonts w:asciiTheme="minorHAnsi" w:hAnsiTheme="minorHAnsi" w:cstheme="minorHAnsi"/>
          <w:color w:val="212121"/>
        </w:rPr>
        <w:t>Two independent reviewers identified components, extracted data, and assessed trial quality. Random-effects component network meta-analyses were performed.</w:t>
      </w:r>
    </w:p>
    <w:p w14:paraId="6D47036C"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Main outcomes and measures: </w:t>
      </w:r>
      <w:r w:rsidRPr="00A211FC">
        <w:rPr>
          <w:rFonts w:asciiTheme="minorHAnsi" w:hAnsiTheme="minorHAnsi" w:cstheme="minorHAnsi"/>
          <w:color w:val="212121"/>
        </w:rPr>
        <w:t>The primary outcome was treatment efficacy (remission defined as reaching a satisfactory state) posttreatment. Secondary outcomes included all-cause dropout, self-reported sleep continuity, and long-term remission.</w:t>
      </w:r>
    </w:p>
    <w:p w14:paraId="585B2F82"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Results: </w:t>
      </w:r>
      <w:r w:rsidRPr="00A211FC">
        <w:rPr>
          <w:rFonts w:asciiTheme="minorHAnsi" w:hAnsiTheme="minorHAnsi" w:cstheme="minorHAnsi"/>
          <w:color w:val="212121"/>
        </w:rPr>
        <w:t>A total of 241 trials were identified including 31 452 participants (mean [SD] age, 45.4 [16.6] years; 21 048 of 31 452 [67%] women). Results suggested that critical components of CBT-I are cognitive restructuring (remission incremental odds ratio [</w:t>
      </w:r>
      <w:proofErr w:type="spellStart"/>
      <w:r w:rsidRPr="00A211FC">
        <w:rPr>
          <w:rFonts w:asciiTheme="minorHAnsi" w:hAnsiTheme="minorHAnsi" w:cstheme="minorHAnsi"/>
          <w:color w:val="212121"/>
        </w:rPr>
        <w:t>iOR</w:t>
      </w:r>
      <w:proofErr w:type="spellEnd"/>
      <w:r w:rsidRPr="00A211FC">
        <w:rPr>
          <w:rFonts w:asciiTheme="minorHAnsi" w:hAnsiTheme="minorHAnsi" w:cstheme="minorHAnsi"/>
          <w:color w:val="212121"/>
        </w:rPr>
        <w:t>], 1.68; 95% CI, 1.28-2.20) third-wave components (</w:t>
      </w:r>
      <w:proofErr w:type="spellStart"/>
      <w:r w:rsidRPr="00A211FC">
        <w:rPr>
          <w:rFonts w:asciiTheme="minorHAnsi" w:hAnsiTheme="minorHAnsi" w:cstheme="minorHAnsi"/>
          <w:color w:val="212121"/>
        </w:rPr>
        <w:t>iOR</w:t>
      </w:r>
      <w:proofErr w:type="spellEnd"/>
      <w:r w:rsidRPr="00A211FC">
        <w:rPr>
          <w:rFonts w:asciiTheme="minorHAnsi" w:hAnsiTheme="minorHAnsi" w:cstheme="minorHAnsi"/>
          <w:color w:val="212121"/>
        </w:rPr>
        <w:t>, 1.49; 95% CI, 1.10-2.03), sleep restriction (</w:t>
      </w:r>
      <w:proofErr w:type="spellStart"/>
      <w:r w:rsidRPr="00A211FC">
        <w:rPr>
          <w:rFonts w:asciiTheme="minorHAnsi" w:hAnsiTheme="minorHAnsi" w:cstheme="minorHAnsi"/>
          <w:color w:val="212121"/>
        </w:rPr>
        <w:t>iOR</w:t>
      </w:r>
      <w:proofErr w:type="spellEnd"/>
      <w:r w:rsidRPr="00A211FC">
        <w:rPr>
          <w:rFonts w:asciiTheme="minorHAnsi" w:hAnsiTheme="minorHAnsi" w:cstheme="minorHAnsi"/>
          <w:color w:val="212121"/>
        </w:rPr>
        <w:t>, 1.49; 95% CI, 1.04-2.13), and stimulus control (</w:t>
      </w:r>
      <w:proofErr w:type="spellStart"/>
      <w:r w:rsidRPr="00A211FC">
        <w:rPr>
          <w:rFonts w:asciiTheme="minorHAnsi" w:hAnsiTheme="minorHAnsi" w:cstheme="minorHAnsi"/>
          <w:color w:val="212121"/>
        </w:rPr>
        <w:t>iOR</w:t>
      </w:r>
      <w:proofErr w:type="spellEnd"/>
      <w:r w:rsidRPr="00A211FC">
        <w:rPr>
          <w:rFonts w:asciiTheme="minorHAnsi" w:hAnsiTheme="minorHAnsi" w:cstheme="minorHAnsi"/>
          <w:color w:val="212121"/>
        </w:rPr>
        <w:t>, 1.43; 95% CI, 1.00-2.05). Sleep hygiene education was not essential (</w:t>
      </w:r>
      <w:proofErr w:type="spellStart"/>
      <w:r w:rsidRPr="00A211FC">
        <w:rPr>
          <w:rFonts w:asciiTheme="minorHAnsi" w:hAnsiTheme="minorHAnsi" w:cstheme="minorHAnsi"/>
          <w:color w:val="212121"/>
        </w:rPr>
        <w:t>iOR</w:t>
      </w:r>
      <w:proofErr w:type="spellEnd"/>
      <w:r w:rsidRPr="00A211FC">
        <w:rPr>
          <w:rFonts w:asciiTheme="minorHAnsi" w:hAnsiTheme="minorHAnsi" w:cstheme="minorHAnsi"/>
          <w:color w:val="212121"/>
        </w:rPr>
        <w:t xml:space="preserve">, 1.01; 95% CI, 0.77-1.32), and relaxation procedures were found to be potentially </w:t>
      </w:r>
      <w:proofErr w:type="gramStart"/>
      <w:r w:rsidRPr="00A211FC">
        <w:rPr>
          <w:rFonts w:asciiTheme="minorHAnsi" w:hAnsiTheme="minorHAnsi" w:cstheme="minorHAnsi"/>
          <w:color w:val="212121"/>
        </w:rPr>
        <w:t>counterproductive(</w:t>
      </w:r>
      <w:proofErr w:type="spellStart"/>
      <w:proofErr w:type="gramEnd"/>
      <w:r w:rsidRPr="00A211FC">
        <w:rPr>
          <w:rFonts w:asciiTheme="minorHAnsi" w:hAnsiTheme="minorHAnsi" w:cstheme="minorHAnsi"/>
          <w:color w:val="212121"/>
        </w:rPr>
        <w:t>iOR</w:t>
      </w:r>
      <w:proofErr w:type="spellEnd"/>
      <w:r w:rsidRPr="00A211FC">
        <w:rPr>
          <w:rFonts w:asciiTheme="minorHAnsi" w:hAnsiTheme="minorHAnsi" w:cstheme="minorHAnsi"/>
          <w:color w:val="212121"/>
        </w:rPr>
        <w:t>, 0.81; 95% CI, 0.64-1.02). In-person therapist-led programs were most beneficial (</w:t>
      </w:r>
      <w:proofErr w:type="spellStart"/>
      <w:r w:rsidRPr="00A211FC">
        <w:rPr>
          <w:rFonts w:asciiTheme="minorHAnsi" w:hAnsiTheme="minorHAnsi" w:cstheme="minorHAnsi"/>
          <w:color w:val="212121"/>
        </w:rPr>
        <w:t>iOR</w:t>
      </w:r>
      <w:proofErr w:type="spellEnd"/>
      <w:r w:rsidRPr="00A211FC">
        <w:rPr>
          <w:rFonts w:asciiTheme="minorHAnsi" w:hAnsiTheme="minorHAnsi" w:cstheme="minorHAnsi"/>
          <w:color w:val="212121"/>
        </w:rPr>
        <w:t xml:space="preserve">, 1.83; 95% CI, 1.19-2.81). Cognitive restructuring, third-wave components, and in-person delivery were mainly associated with improved subjective sleep quality. Sleep </w:t>
      </w:r>
      <w:r w:rsidRPr="00A211FC">
        <w:rPr>
          <w:rFonts w:asciiTheme="minorHAnsi" w:hAnsiTheme="minorHAnsi" w:cstheme="minorHAnsi"/>
          <w:color w:val="212121"/>
        </w:rPr>
        <w:lastRenderedPageBreak/>
        <w:t>restriction was associated with improved subjective sleep quality, sleep efficiency, and wake after sleep onset, and stimulus control with improved subjective sleep quality, sleep efficiency, and sleep latency. The most efficacious combination-consisting of cognitive restructuring, third wave, sleep restriction, and stimulus control in the in-person format-compared with in-person psychoeducation, was associated with an increase in the remission rate by a risk difference of 0.33 (95% CI, 0.23-0.43) and a number needed to treat of 3.0 (95% CI, 2.3-4.3), given the median observed control event rate of 0.14.</w:t>
      </w:r>
    </w:p>
    <w:p w14:paraId="3D3A7002" w14:textId="77777777" w:rsidR="00174B4F" w:rsidRPr="00A211FC" w:rsidRDefault="00174B4F" w:rsidP="00174B4F">
      <w:pPr>
        <w:pStyle w:val="NormalWeb"/>
        <w:shd w:val="clear" w:color="auto" w:fill="FFFFFF"/>
        <w:rPr>
          <w:rFonts w:asciiTheme="minorHAnsi" w:hAnsiTheme="minorHAnsi" w:cstheme="minorHAnsi"/>
          <w:color w:val="212121"/>
        </w:rPr>
      </w:pPr>
      <w:r w:rsidRPr="00A211FC">
        <w:rPr>
          <w:rStyle w:val="Strong"/>
          <w:rFonts w:asciiTheme="minorHAnsi" w:hAnsiTheme="minorHAnsi" w:cstheme="minorHAnsi"/>
          <w:color w:val="212121"/>
        </w:rPr>
        <w:t>Conclusions and relevance: </w:t>
      </w:r>
      <w:r w:rsidRPr="00A211FC">
        <w:rPr>
          <w:rFonts w:asciiTheme="minorHAnsi" w:hAnsiTheme="minorHAnsi" w:cstheme="minorHAnsi"/>
          <w:color w:val="212121"/>
        </w:rPr>
        <w:t>The findings suggest that beneficial CBT-I packages may include cognitive restructuring, third-wave components, sleep restriction, stimulus control, and in-person delivery but not relaxation. However, potential undetected interactions could undermine the conclusions. Further large-scale, well-designed trials are warranted to confirm the contribution of different treatment components in CBT-I.</w:t>
      </w:r>
    </w:p>
    <w:p w14:paraId="6D1D8D80" w14:textId="77777777" w:rsidR="00CE6E05" w:rsidRPr="00A211FC" w:rsidRDefault="00CE6E05" w:rsidP="00CE6E05">
      <w:pPr>
        <w:rPr>
          <w:rFonts w:cstheme="minorHAnsi"/>
          <w:sz w:val="24"/>
          <w:szCs w:val="24"/>
        </w:rPr>
      </w:pPr>
    </w:p>
    <w:p w14:paraId="6FE05E25" w14:textId="77777777" w:rsidR="00CE6E05" w:rsidRPr="00A211FC" w:rsidRDefault="00CE6E05" w:rsidP="00CE6E05">
      <w:pPr>
        <w:rPr>
          <w:rFonts w:cstheme="minorHAnsi"/>
          <w:sz w:val="24"/>
          <w:szCs w:val="24"/>
        </w:rPr>
      </w:pPr>
    </w:p>
    <w:p w14:paraId="16774942" w14:textId="31769E55" w:rsidR="00B82BDF" w:rsidRPr="00A211FC" w:rsidRDefault="00B82BDF" w:rsidP="006C0895">
      <w:pPr>
        <w:pStyle w:val="Heading2"/>
        <w:rPr>
          <w:rFonts w:asciiTheme="minorHAnsi" w:hAnsiTheme="minorHAnsi" w:cstheme="minorHAnsi"/>
          <w:noProof/>
          <w:sz w:val="24"/>
          <w:szCs w:val="24"/>
        </w:rPr>
      </w:pPr>
      <w:bookmarkStart w:id="20" w:name="_Toc158045252"/>
      <w:r w:rsidRPr="00A211FC">
        <w:rPr>
          <w:rStyle w:val="Heading1Char"/>
          <w:rFonts w:asciiTheme="minorHAnsi" w:hAnsiTheme="minorHAnsi" w:cstheme="minorHAnsi"/>
          <w:sz w:val="24"/>
          <w:szCs w:val="24"/>
        </w:rPr>
        <w:t>Interesting Viewpoints</w:t>
      </w:r>
      <w:r w:rsidRPr="00A211FC">
        <w:rPr>
          <w:rFonts w:asciiTheme="minorHAnsi" w:hAnsiTheme="minorHAnsi" w:cstheme="minorHAnsi"/>
          <w:noProof/>
          <w:sz w:val="24"/>
          <w:szCs w:val="24"/>
        </w:rPr>
        <w:t>:</w:t>
      </w:r>
      <w:bookmarkEnd w:id="20"/>
    </w:p>
    <w:p w14:paraId="5789D47A" w14:textId="77777777" w:rsidR="00F6668E" w:rsidRPr="00A211FC" w:rsidRDefault="00F6668E" w:rsidP="00F6668E">
      <w:pPr>
        <w:rPr>
          <w:rFonts w:cstheme="minorHAnsi"/>
          <w:sz w:val="24"/>
          <w:szCs w:val="24"/>
        </w:rPr>
      </w:pPr>
    </w:p>
    <w:p w14:paraId="1889D538" w14:textId="77777777" w:rsidR="001C6C72" w:rsidRPr="00A211FC" w:rsidRDefault="001C6C72" w:rsidP="001C6C72">
      <w:pPr>
        <w:pStyle w:val="Heading1"/>
        <w:shd w:val="clear" w:color="auto" w:fill="FFFFFF"/>
        <w:rPr>
          <w:rFonts w:cstheme="minorHAnsi"/>
          <w:color w:val="212121"/>
          <w:sz w:val="24"/>
          <w:szCs w:val="24"/>
        </w:rPr>
      </w:pPr>
      <w:bookmarkStart w:id="21" w:name="_Toc158045253"/>
      <w:r w:rsidRPr="00A211FC">
        <w:rPr>
          <w:rFonts w:cstheme="minorHAnsi"/>
          <w:color w:val="212121"/>
          <w:sz w:val="24"/>
          <w:szCs w:val="24"/>
        </w:rPr>
        <w:t>Psychedelics in Addiction Treatment-Navigating a Sociopolitical Rift</w:t>
      </w:r>
      <w:bookmarkEnd w:id="21"/>
    </w:p>
    <w:p w14:paraId="5DB4ACA3" w14:textId="7BA36AF0" w:rsidR="000423E0" w:rsidRPr="00A211FC" w:rsidRDefault="001C6C72" w:rsidP="0045378A">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Mehtani NJ, Anderson BT, Mitchell JM. Psychedelics in Addiction Treatment-Navigating a Sociopolitical Rift. JAMA Neurol. 2024 Jan 16.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10.1001/jamaneurol.2023.5173.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 </w:t>
      </w:r>
      <w:hyperlink r:id="rId28" w:history="1">
        <w:r w:rsidRPr="00A211FC">
          <w:rPr>
            <w:rStyle w:val="Hyperlink"/>
            <w:rFonts w:cstheme="minorHAnsi"/>
            <w:sz w:val="24"/>
            <w:szCs w:val="24"/>
            <w:shd w:val="clear" w:color="auto" w:fill="FFFFFF"/>
          </w:rPr>
          <w:t>PMID: 38227310</w:t>
        </w:r>
      </w:hyperlink>
      <w:r w:rsidRPr="00A211FC">
        <w:rPr>
          <w:rFonts w:cstheme="minorHAnsi"/>
          <w:color w:val="212121"/>
          <w:sz w:val="24"/>
          <w:szCs w:val="24"/>
          <w:shd w:val="clear" w:color="auto" w:fill="FFFFFF"/>
        </w:rPr>
        <w:t>.</w:t>
      </w:r>
    </w:p>
    <w:p w14:paraId="0EA9E875" w14:textId="414300A0" w:rsidR="001C6C72" w:rsidRPr="00A211FC" w:rsidRDefault="00BD4DE6" w:rsidP="0045378A">
      <w:pPr>
        <w:rPr>
          <w:rFonts w:cstheme="minorHAnsi"/>
          <w:color w:val="212121"/>
          <w:sz w:val="24"/>
          <w:szCs w:val="24"/>
          <w:shd w:val="clear" w:color="auto" w:fill="FFFFFF"/>
        </w:rPr>
      </w:pPr>
      <w:r w:rsidRPr="00A211FC">
        <w:rPr>
          <w:rFonts w:cstheme="minorHAnsi"/>
          <w:color w:val="212121"/>
          <w:sz w:val="24"/>
          <w:szCs w:val="24"/>
          <w:shd w:val="clear" w:color="auto" w:fill="FFFFFF"/>
        </w:rPr>
        <w:t>This Viewpoint discusses the use of psychedelics in treatment for substance use disorders.</w:t>
      </w:r>
    </w:p>
    <w:p w14:paraId="56807756" w14:textId="77777777" w:rsidR="00BD4DE6" w:rsidRPr="00A211FC" w:rsidRDefault="00BD4DE6" w:rsidP="00BD4DE6">
      <w:pPr>
        <w:pStyle w:val="Heading1"/>
        <w:shd w:val="clear" w:color="auto" w:fill="FFFFFF"/>
        <w:rPr>
          <w:rFonts w:cstheme="minorHAnsi"/>
          <w:color w:val="212121"/>
          <w:sz w:val="24"/>
          <w:szCs w:val="24"/>
        </w:rPr>
      </w:pPr>
      <w:bookmarkStart w:id="22" w:name="_Toc158045254"/>
      <w:r w:rsidRPr="00A211FC">
        <w:rPr>
          <w:rFonts w:cstheme="minorHAnsi"/>
          <w:color w:val="212121"/>
          <w:sz w:val="24"/>
          <w:szCs w:val="24"/>
        </w:rPr>
        <w:t>Physical healing as a function of perceived time</w:t>
      </w:r>
      <w:bookmarkEnd w:id="22"/>
    </w:p>
    <w:p w14:paraId="23D89865" w14:textId="058F239F" w:rsidR="00BD4DE6" w:rsidRPr="00A211FC" w:rsidRDefault="00BD4DE6" w:rsidP="0045378A">
      <w:pPr>
        <w:rPr>
          <w:rFonts w:cstheme="minorHAnsi"/>
          <w:color w:val="212121"/>
          <w:sz w:val="24"/>
          <w:szCs w:val="24"/>
          <w:shd w:val="clear" w:color="auto" w:fill="FFFFFF"/>
        </w:rPr>
      </w:pPr>
      <w:proofErr w:type="spellStart"/>
      <w:r w:rsidRPr="00A211FC">
        <w:rPr>
          <w:rFonts w:cstheme="minorHAnsi"/>
          <w:color w:val="212121"/>
          <w:sz w:val="24"/>
          <w:szCs w:val="24"/>
          <w:shd w:val="clear" w:color="auto" w:fill="FFFFFF"/>
        </w:rPr>
        <w:t>Aungle</w:t>
      </w:r>
      <w:proofErr w:type="spellEnd"/>
      <w:r w:rsidRPr="00A211FC">
        <w:rPr>
          <w:rFonts w:cstheme="minorHAnsi"/>
          <w:color w:val="212121"/>
          <w:sz w:val="24"/>
          <w:szCs w:val="24"/>
          <w:shd w:val="clear" w:color="auto" w:fill="FFFFFF"/>
        </w:rPr>
        <w:t xml:space="preserve"> P, Langer E. Physical healing as a function of perceived time. Sci Rep. 2023 Dec 17;13(1):22432.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10.1038/s41598-023-50009-3. Erratum in: Sci Rep. 2024 Jan 29;14(1):2412. </w:t>
      </w:r>
      <w:hyperlink r:id="rId29" w:history="1">
        <w:r w:rsidRPr="00A211FC">
          <w:rPr>
            <w:rStyle w:val="Hyperlink"/>
            <w:rFonts w:cstheme="minorHAnsi"/>
            <w:sz w:val="24"/>
            <w:szCs w:val="24"/>
            <w:shd w:val="clear" w:color="auto" w:fill="FFFFFF"/>
          </w:rPr>
          <w:t>PMID: 38104155</w:t>
        </w:r>
      </w:hyperlink>
      <w:r w:rsidRPr="00A211FC">
        <w:rPr>
          <w:rFonts w:cstheme="minorHAnsi"/>
          <w:color w:val="212121"/>
          <w:sz w:val="24"/>
          <w:szCs w:val="24"/>
          <w:shd w:val="clear" w:color="auto" w:fill="FFFFFF"/>
        </w:rPr>
        <w:t>; PMCID: PMC10725481.</w:t>
      </w:r>
    </w:p>
    <w:p w14:paraId="0F040DB7" w14:textId="6CB3ACD1" w:rsidR="00BD4DE6" w:rsidRPr="00A211FC" w:rsidRDefault="00BD4DE6" w:rsidP="0045378A">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In this study we wounded study participants following a standardized procedure and manipulated perceived time to test whether perceived time affected the rate of healing. We measured the amount of healing that occurred across three conditions using a within-subjects design: Slow Time (half as fast as clock time), Normal Time (clock time), and Fast Time (twice as fast as clock time). Based on the theory of mind-body unity-which posits simultaneous and bidirectional influences of mind on body and body on mind-we hypothesized that wounds would heal faster or slower when perceived time was manipulated to be experienced as longer or shorter respectively. Although the actual elapsed time was 28 min in all three conditions, significantly more healing was observed in the Normal Time condition compared to the Slow Time condition, in the Fast Time condition compared to the Normal Time condition, and in the Fast Time condition compared to the Slow Time condition. These results support the hypothesis </w:t>
      </w:r>
      <w:r w:rsidRPr="00A211FC">
        <w:rPr>
          <w:rFonts w:cstheme="minorHAnsi"/>
          <w:color w:val="212121"/>
          <w:sz w:val="24"/>
          <w:szCs w:val="24"/>
          <w:shd w:val="clear" w:color="auto" w:fill="FFFFFF"/>
        </w:rPr>
        <w:lastRenderedPageBreak/>
        <w:t>that the effect of time on physical healing is directly affected by one's psychological experience of time, independent of the actual elapsed time.</w:t>
      </w:r>
    </w:p>
    <w:p w14:paraId="75F264A0" w14:textId="77777777" w:rsidR="00BD4DE6" w:rsidRPr="00A211FC" w:rsidRDefault="00BD4DE6" w:rsidP="00BD4DE6">
      <w:pPr>
        <w:pStyle w:val="Heading1"/>
        <w:shd w:val="clear" w:color="auto" w:fill="FFFFFF"/>
        <w:rPr>
          <w:rFonts w:cstheme="minorHAnsi"/>
          <w:color w:val="212121"/>
          <w:sz w:val="24"/>
          <w:szCs w:val="24"/>
        </w:rPr>
      </w:pPr>
      <w:bookmarkStart w:id="23" w:name="_Toc158045255"/>
      <w:r w:rsidRPr="00A211FC">
        <w:rPr>
          <w:rFonts w:cstheme="minorHAnsi"/>
          <w:color w:val="212121"/>
          <w:sz w:val="24"/>
          <w:szCs w:val="24"/>
        </w:rPr>
        <w:t>"Scalable Privilege"-How AI Could Turn Data From the Best Medical Systems Into Better Care for All</w:t>
      </w:r>
      <w:bookmarkEnd w:id="23"/>
    </w:p>
    <w:p w14:paraId="4F0E2F9D" w14:textId="17409BED" w:rsidR="00BD4DE6" w:rsidRPr="00A211FC" w:rsidRDefault="00BD4DE6" w:rsidP="0045378A">
      <w:pPr>
        <w:rPr>
          <w:rFonts w:cstheme="minorHAnsi"/>
          <w:color w:val="212121"/>
          <w:sz w:val="24"/>
          <w:szCs w:val="24"/>
          <w:shd w:val="clear" w:color="auto" w:fill="FFFFFF"/>
        </w:rPr>
      </w:pPr>
      <w:r w:rsidRPr="00A211FC">
        <w:rPr>
          <w:rFonts w:cstheme="minorHAnsi"/>
          <w:color w:val="212121"/>
          <w:sz w:val="24"/>
          <w:szCs w:val="24"/>
          <w:shd w:val="clear" w:color="auto" w:fill="FFFFFF"/>
        </w:rPr>
        <w:t xml:space="preserve">Anderer S, </w:t>
      </w:r>
      <w:proofErr w:type="spellStart"/>
      <w:r w:rsidRPr="00A211FC">
        <w:rPr>
          <w:rFonts w:cstheme="minorHAnsi"/>
          <w:color w:val="212121"/>
          <w:sz w:val="24"/>
          <w:szCs w:val="24"/>
          <w:shd w:val="clear" w:color="auto" w:fill="FFFFFF"/>
        </w:rPr>
        <w:t>Hswen</w:t>
      </w:r>
      <w:proofErr w:type="spellEnd"/>
      <w:r w:rsidRPr="00A211FC">
        <w:rPr>
          <w:rFonts w:cstheme="minorHAnsi"/>
          <w:color w:val="212121"/>
          <w:sz w:val="24"/>
          <w:szCs w:val="24"/>
          <w:shd w:val="clear" w:color="auto" w:fill="FFFFFF"/>
        </w:rPr>
        <w:t xml:space="preserve"> Y. "Scalable Privilege"-How AI Could Turn Data </w:t>
      </w:r>
      <w:proofErr w:type="gramStart"/>
      <w:r w:rsidRPr="00A211FC">
        <w:rPr>
          <w:rFonts w:cstheme="minorHAnsi"/>
          <w:color w:val="212121"/>
          <w:sz w:val="24"/>
          <w:szCs w:val="24"/>
          <w:shd w:val="clear" w:color="auto" w:fill="FFFFFF"/>
        </w:rPr>
        <w:t>From</w:t>
      </w:r>
      <w:proofErr w:type="gramEnd"/>
      <w:r w:rsidRPr="00A211FC">
        <w:rPr>
          <w:rFonts w:cstheme="minorHAnsi"/>
          <w:color w:val="212121"/>
          <w:sz w:val="24"/>
          <w:szCs w:val="24"/>
          <w:shd w:val="clear" w:color="auto" w:fill="FFFFFF"/>
        </w:rPr>
        <w:t xml:space="preserve"> the Best Medical Systems </w:t>
      </w:r>
      <w:proofErr w:type="gramStart"/>
      <w:r w:rsidRPr="00A211FC">
        <w:rPr>
          <w:rFonts w:cstheme="minorHAnsi"/>
          <w:color w:val="212121"/>
          <w:sz w:val="24"/>
          <w:szCs w:val="24"/>
          <w:shd w:val="clear" w:color="auto" w:fill="FFFFFF"/>
        </w:rPr>
        <w:t>Into</w:t>
      </w:r>
      <w:proofErr w:type="gramEnd"/>
      <w:r w:rsidRPr="00A211FC">
        <w:rPr>
          <w:rFonts w:cstheme="minorHAnsi"/>
          <w:color w:val="212121"/>
          <w:sz w:val="24"/>
          <w:szCs w:val="24"/>
          <w:shd w:val="clear" w:color="auto" w:fill="FFFFFF"/>
        </w:rPr>
        <w:t xml:space="preserve"> Better Care for All. JAMA. 2024 Jan 24. </w:t>
      </w:r>
      <w:proofErr w:type="spellStart"/>
      <w:r w:rsidRPr="00A211FC">
        <w:rPr>
          <w:rFonts w:cstheme="minorHAnsi"/>
          <w:color w:val="212121"/>
          <w:sz w:val="24"/>
          <w:szCs w:val="24"/>
          <w:shd w:val="clear" w:color="auto" w:fill="FFFFFF"/>
        </w:rPr>
        <w:t>doi</w:t>
      </w:r>
      <w:proofErr w:type="spellEnd"/>
      <w:r w:rsidRPr="00A211FC">
        <w:rPr>
          <w:rFonts w:cstheme="minorHAnsi"/>
          <w:color w:val="212121"/>
          <w:sz w:val="24"/>
          <w:szCs w:val="24"/>
          <w:shd w:val="clear" w:color="auto" w:fill="FFFFFF"/>
        </w:rPr>
        <w:t xml:space="preserve">: 10.1001/jama.2023.21719. </w:t>
      </w:r>
      <w:proofErr w:type="spellStart"/>
      <w:r w:rsidRPr="00A211FC">
        <w:rPr>
          <w:rFonts w:cstheme="minorHAnsi"/>
          <w:color w:val="212121"/>
          <w:sz w:val="24"/>
          <w:szCs w:val="24"/>
          <w:shd w:val="clear" w:color="auto" w:fill="FFFFFF"/>
        </w:rPr>
        <w:t>Epub</w:t>
      </w:r>
      <w:proofErr w:type="spellEnd"/>
      <w:r w:rsidRPr="00A211FC">
        <w:rPr>
          <w:rFonts w:cstheme="minorHAnsi"/>
          <w:color w:val="212121"/>
          <w:sz w:val="24"/>
          <w:szCs w:val="24"/>
          <w:shd w:val="clear" w:color="auto" w:fill="FFFFFF"/>
        </w:rPr>
        <w:t xml:space="preserve"> ahead of print</w:t>
      </w:r>
      <w:hyperlink r:id="rId30" w:history="1">
        <w:r w:rsidRPr="00A211FC">
          <w:rPr>
            <w:rStyle w:val="Hyperlink"/>
            <w:rFonts w:cstheme="minorHAnsi"/>
            <w:sz w:val="24"/>
            <w:szCs w:val="24"/>
            <w:shd w:val="clear" w:color="auto" w:fill="FFFFFF"/>
          </w:rPr>
          <w:t>. PMID: 38265824</w:t>
        </w:r>
      </w:hyperlink>
      <w:r w:rsidRPr="00A211FC">
        <w:rPr>
          <w:rFonts w:cstheme="minorHAnsi"/>
          <w:color w:val="212121"/>
          <w:sz w:val="24"/>
          <w:szCs w:val="24"/>
          <w:shd w:val="clear" w:color="auto" w:fill="FFFFFF"/>
        </w:rPr>
        <w:t>.</w:t>
      </w:r>
    </w:p>
    <w:p w14:paraId="4E775752" w14:textId="77777777" w:rsidR="00A603BC" w:rsidRDefault="00A603BC" w:rsidP="0045378A">
      <w:pPr>
        <w:rPr>
          <w:rFonts w:ascii="Segoe UI" w:hAnsi="Segoe UI" w:cs="Segoe UI"/>
          <w:color w:val="212121"/>
          <w:shd w:val="clear" w:color="auto" w:fill="FFFFFF"/>
        </w:rPr>
      </w:pPr>
    </w:p>
    <w:p w14:paraId="5E3AFE34" w14:textId="77777777" w:rsidR="00BD4DE6" w:rsidRPr="0045378A" w:rsidRDefault="00BD4DE6" w:rsidP="0045378A">
      <w:pPr>
        <w:rPr>
          <w:noProof/>
        </w:rPr>
      </w:pPr>
    </w:p>
    <w:sectPr w:rsidR="00BD4DE6" w:rsidRPr="00453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17603"/>
    <w:rsid w:val="00030438"/>
    <w:rsid w:val="000423E0"/>
    <w:rsid w:val="000447D5"/>
    <w:rsid w:val="000510E4"/>
    <w:rsid w:val="000B3815"/>
    <w:rsid w:val="000D0E5D"/>
    <w:rsid w:val="000E1044"/>
    <w:rsid w:val="00100DA1"/>
    <w:rsid w:val="00107500"/>
    <w:rsid w:val="0016071D"/>
    <w:rsid w:val="00167D83"/>
    <w:rsid w:val="0017002E"/>
    <w:rsid w:val="00174B4F"/>
    <w:rsid w:val="00181909"/>
    <w:rsid w:val="001824C2"/>
    <w:rsid w:val="001A5A14"/>
    <w:rsid w:val="001C5A2D"/>
    <w:rsid w:val="001C6C72"/>
    <w:rsid w:val="001D558C"/>
    <w:rsid w:val="001D698C"/>
    <w:rsid w:val="001E0169"/>
    <w:rsid w:val="00216C8E"/>
    <w:rsid w:val="00264263"/>
    <w:rsid w:val="00264F03"/>
    <w:rsid w:val="00295BEB"/>
    <w:rsid w:val="00307E29"/>
    <w:rsid w:val="00313E9A"/>
    <w:rsid w:val="00316627"/>
    <w:rsid w:val="003176F3"/>
    <w:rsid w:val="00335886"/>
    <w:rsid w:val="00337004"/>
    <w:rsid w:val="00351346"/>
    <w:rsid w:val="00375FB8"/>
    <w:rsid w:val="00381EE2"/>
    <w:rsid w:val="003821FA"/>
    <w:rsid w:val="00391F75"/>
    <w:rsid w:val="00391FF5"/>
    <w:rsid w:val="003E775C"/>
    <w:rsid w:val="003F42CF"/>
    <w:rsid w:val="00430530"/>
    <w:rsid w:val="004308DF"/>
    <w:rsid w:val="00443AB0"/>
    <w:rsid w:val="0045378A"/>
    <w:rsid w:val="004B6FEA"/>
    <w:rsid w:val="004D5D56"/>
    <w:rsid w:val="004D61DC"/>
    <w:rsid w:val="005063D4"/>
    <w:rsid w:val="00507647"/>
    <w:rsid w:val="00514989"/>
    <w:rsid w:val="00517CBC"/>
    <w:rsid w:val="0052739B"/>
    <w:rsid w:val="00583B9B"/>
    <w:rsid w:val="00594B79"/>
    <w:rsid w:val="005C3C2E"/>
    <w:rsid w:val="0060720C"/>
    <w:rsid w:val="006328E1"/>
    <w:rsid w:val="006346BE"/>
    <w:rsid w:val="006368D1"/>
    <w:rsid w:val="0066255F"/>
    <w:rsid w:val="00687994"/>
    <w:rsid w:val="0069475A"/>
    <w:rsid w:val="006A7B6C"/>
    <w:rsid w:val="006B3ED6"/>
    <w:rsid w:val="006C0895"/>
    <w:rsid w:val="006C2A8E"/>
    <w:rsid w:val="006C6008"/>
    <w:rsid w:val="006E769A"/>
    <w:rsid w:val="006F0B5F"/>
    <w:rsid w:val="006F1E47"/>
    <w:rsid w:val="00731277"/>
    <w:rsid w:val="007466BC"/>
    <w:rsid w:val="007770EE"/>
    <w:rsid w:val="007818A5"/>
    <w:rsid w:val="0079285D"/>
    <w:rsid w:val="007F6E6E"/>
    <w:rsid w:val="008017D8"/>
    <w:rsid w:val="00836BD7"/>
    <w:rsid w:val="0084402C"/>
    <w:rsid w:val="00854980"/>
    <w:rsid w:val="00870B4C"/>
    <w:rsid w:val="00876D1F"/>
    <w:rsid w:val="00880BEB"/>
    <w:rsid w:val="00890822"/>
    <w:rsid w:val="008D1928"/>
    <w:rsid w:val="008F66F2"/>
    <w:rsid w:val="00941E18"/>
    <w:rsid w:val="00960961"/>
    <w:rsid w:val="0097450A"/>
    <w:rsid w:val="00980C92"/>
    <w:rsid w:val="0098517F"/>
    <w:rsid w:val="009C657C"/>
    <w:rsid w:val="009E1782"/>
    <w:rsid w:val="00A00324"/>
    <w:rsid w:val="00A0147B"/>
    <w:rsid w:val="00A108FA"/>
    <w:rsid w:val="00A211FC"/>
    <w:rsid w:val="00A2462A"/>
    <w:rsid w:val="00A41334"/>
    <w:rsid w:val="00A603BC"/>
    <w:rsid w:val="00A61E2B"/>
    <w:rsid w:val="00A749C6"/>
    <w:rsid w:val="00AB4610"/>
    <w:rsid w:val="00AC1FE1"/>
    <w:rsid w:val="00AE472E"/>
    <w:rsid w:val="00AF46E2"/>
    <w:rsid w:val="00B002B4"/>
    <w:rsid w:val="00B338CD"/>
    <w:rsid w:val="00B57EC5"/>
    <w:rsid w:val="00B70B46"/>
    <w:rsid w:val="00B73EEB"/>
    <w:rsid w:val="00B80B6F"/>
    <w:rsid w:val="00B82BDF"/>
    <w:rsid w:val="00BC5E5E"/>
    <w:rsid w:val="00BD13DE"/>
    <w:rsid w:val="00BD4DE6"/>
    <w:rsid w:val="00BD6F72"/>
    <w:rsid w:val="00BF3666"/>
    <w:rsid w:val="00BF4685"/>
    <w:rsid w:val="00BF5AF4"/>
    <w:rsid w:val="00C07207"/>
    <w:rsid w:val="00C1411A"/>
    <w:rsid w:val="00C60412"/>
    <w:rsid w:val="00C76551"/>
    <w:rsid w:val="00C90895"/>
    <w:rsid w:val="00CB0BAA"/>
    <w:rsid w:val="00CE6E05"/>
    <w:rsid w:val="00D17175"/>
    <w:rsid w:val="00D17217"/>
    <w:rsid w:val="00DC62E6"/>
    <w:rsid w:val="00DF1137"/>
    <w:rsid w:val="00DF2746"/>
    <w:rsid w:val="00E070C5"/>
    <w:rsid w:val="00E20DCD"/>
    <w:rsid w:val="00E21579"/>
    <w:rsid w:val="00E23E79"/>
    <w:rsid w:val="00E34DB9"/>
    <w:rsid w:val="00E77043"/>
    <w:rsid w:val="00EB34E9"/>
    <w:rsid w:val="00EC7D1E"/>
    <w:rsid w:val="00F00429"/>
    <w:rsid w:val="00F05E92"/>
    <w:rsid w:val="00F369C8"/>
    <w:rsid w:val="00F6668E"/>
    <w:rsid w:val="00FA3A4B"/>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C9C587E3-BDEA-1444-9721-3DD26FFE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8011021/" TargetMode="External"/><Relationship Id="rId13" Type="http://schemas.openxmlformats.org/officeDocument/2006/relationships/hyperlink" Target="https://pubmed.ncbi.nlm.nih.gov/38272007/" TargetMode="External"/><Relationship Id="rId18" Type="http://schemas.openxmlformats.org/officeDocument/2006/relationships/hyperlink" Target="https://pubmed.ncbi.nlm.nih.gov/38105655/" TargetMode="External"/><Relationship Id="rId26" Type="http://schemas.openxmlformats.org/officeDocument/2006/relationships/hyperlink" Target="https://gpsslvpn.mednet.ucla.edu/https/pubmed.ncbi.nlm.nih.gov/38200290/" TargetMode="External"/><Relationship Id="rId3" Type="http://schemas.openxmlformats.org/officeDocument/2006/relationships/customXml" Target="../customXml/item3.xml"/><Relationship Id="rId21" Type="http://schemas.openxmlformats.org/officeDocument/2006/relationships/hyperlink" Target="https://pubmed.ncbi.nlm.nih.gov/38157979/" TargetMode="External"/><Relationship Id="rId7" Type="http://schemas.openxmlformats.org/officeDocument/2006/relationships/hyperlink" Target="mailto:PsychiatricPracticeUpdates@gmail.com" TargetMode="External"/><Relationship Id="rId12" Type="http://schemas.openxmlformats.org/officeDocument/2006/relationships/hyperlink" Target="https://pubmed.ncbi.nlm.nih.gov/38130122/" TargetMode="External"/><Relationship Id="rId17" Type="http://schemas.openxmlformats.org/officeDocument/2006/relationships/hyperlink" Target="https://pubmed.ncbi.nlm.nih.gov/38039323/" TargetMode="External"/><Relationship Id="rId25" Type="http://schemas.openxmlformats.org/officeDocument/2006/relationships/hyperlink" Target="https://pubmed.ncbi.nlm.nih.gov/38055270/" TargetMode="External"/><Relationship Id="rId2" Type="http://schemas.openxmlformats.org/officeDocument/2006/relationships/customXml" Target="../customXml/item2.xml"/><Relationship Id="rId16" Type="http://schemas.openxmlformats.org/officeDocument/2006/relationships/hyperlink" Target="http://clinicaltrials.gov/show/NCT04313712" TargetMode="External"/><Relationship Id="rId20" Type="http://schemas.openxmlformats.org/officeDocument/2006/relationships/hyperlink" Target="https://pubmed.ncbi.nlm.nih.gov/38161305/" TargetMode="External"/><Relationship Id="rId29" Type="http://schemas.openxmlformats.org/officeDocument/2006/relationships/hyperlink" Target="https://pubmed.ncbi.nlm.nih.gov/381041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psslvpn.mednet.ucla.edu/https/pubmed.ncbi.nlm.nih.gov/37918459/" TargetMode="External"/><Relationship Id="rId24" Type="http://schemas.openxmlformats.org/officeDocument/2006/relationships/hyperlink" Target="https://pubmed.ncbi.nlm.nih.gov/3819814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ubmed.ncbi.nlm.nih.gov/38182784/" TargetMode="External"/><Relationship Id="rId23" Type="http://schemas.openxmlformats.org/officeDocument/2006/relationships/hyperlink" Target="https://pubmed.ncbi.nlm.nih.gov/38070870/" TargetMode="External"/><Relationship Id="rId28" Type="http://schemas.openxmlformats.org/officeDocument/2006/relationships/hyperlink" Target="https://pubmed.ncbi.nlm.nih.gov/38227310/" TargetMode="External"/><Relationship Id="rId10" Type="http://schemas.openxmlformats.org/officeDocument/2006/relationships/hyperlink" Target="https://pubmed.ncbi.nlm.nih.gov/38307840/" TargetMode="External"/><Relationship Id="rId19" Type="http://schemas.openxmlformats.org/officeDocument/2006/relationships/hyperlink" Target="https://pubmed.ncbi.nlm.nih.gov/38102849/"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ubmed.ncbi.nlm.nih.gov/38265792/" TargetMode="External"/><Relationship Id="rId14" Type="http://schemas.openxmlformats.org/officeDocument/2006/relationships/hyperlink" Target="https://pubmed.ncbi.nlm.nih.gov/38213402/" TargetMode="External"/><Relationship Id="rId22" Type="http://schemas.openxmlformats.org/officeDocument/2006/relationships/hyperlink" Target="https://pubmed.ncbi.nlm.nih.gov/38231519/" TargetMode="External"/><Relationship Id="rId27" Type="http://schemas.openxmlformats.org/officeDocument/2006/relationships/hyperlink" Target="https://pubmed.ncbi.nlm.nih.gov/38231522/" TargetMode="External"/><Relationship Id="rId30" Type="http://schemas.openxmlformats.org/officeDocument/2006/relationships/hyperlink" Target="https://pubmed.ncbi.nlm.nih.gov/38265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4E90F9D00E441967C69CD711E8B56" ma:contentTypeVersion="12" ma:contentTypeDescription="Create a new document." ma:contentTypeScope="" ma:versionID="f8d249d234bfdb672acf7d61bda88d2d">
  <xsd:schema xmlns:xsd="http://www.w3.org/2001/XMLSchema" xmlns:xs="http://www.w3.org/2001/XMLSchema" xmlns:p="http://schemas.microsoft.com/office/2006/metadata/properties" xmlns:ns3="91441c8d-ca26-44dc-94a4-57e3644a5890" xmlns:ns4="d8477fae-83d0-48aa-8785-73bd0b430834" targetNamespace="http://schemas.microsoft.com/office/2006/metadata/properties" ma:root="true" ma:fieldsID="0cf2b0a5d703f1436b072e2eb3df63f9" ns3:_="" ns4:_="">
    <xsd:import namespace="91441c8d-ca26-44dc-94a4-57e3644a5890"/>
    <xsd:import namespace="d8477fae-83d0-48aa-8785-73bd0b4308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1c8d-ca26-44dc-94a4-57e3644a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77fae-83d0-48aa-8785-73bd0b4308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C7DEF-1437-4DAE-9012-0B1103561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1c8d-ca26-44dc-94a4-57e3644a5890"/>
    <ds:schemaRef ds:uri="d8477fae-83d0-48aa-8785-73bd0b43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3.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8545</Words>
  <Characters>48711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2026-03-06T04:24:00Z</dcterms:created>
  <dcterms:modified xsi:type="dcterms:W3CDTF">2026-03-06T04:24:00Z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0x0101005094E90F9D00E441967C69CD711E8B56</vt:lpwstr>
  </property>
</Properties>
</file>